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228.0" w:type="dxa"/>
        <w:jc w:val="center"/>
        <w:tblLayout w:type="fixed"/>
        <w:tblLook w:val="0000"/>
      </w:tblPr>
      <w:tblGrid>
        <w:gridCol w:w="4537"/>
        <w:gridCol w:w="5691"/>
        <w:tblGridChange w:id="0">
          <w:tblGrid>
            <w:gridCol w:w="4537"/>
            <w:gridCol w:w="5691"/>
          </w:tblGrid>
        </w:tblGridChange>
      </w:tblGrid>
      <w:tr>
        <w:trPr>
          <w:cantSplit w:val="0"/>
          <w:tblHeader w:val="0"/>
        </w:trPr>
        <w:tc>
          <w:tcPr/>
          <w:p w:rsidR="00000000" w:rsidDel="00000000" w:rsidP="00000000" w:rsidRDefault="00000000" w:rsidRPr="00000000" w14:paraId="00000002">
            <w:pPr>
              <w:widowControl w:val="0"/>
              <w:spacing w:after="0"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CÔNG TY CỔ PHẦN </w:t>
            </w:r>
          </w:p>
          <w:p w:rsidR="00000000" w:rsidDel="00000000" w:rsidP="00000000" w:rsidRDefault="00000000" w:rsidRPr="00000000" w14:paraId="00000003">
            <w:pPr>
              <w:widowControl w:val="0"/>
              <w:spacing w:after="0"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PHÁT HÀNH SÁCH THÁI NGUYÊN</w:t>
            </w:r>
          </w:p>
          <w:p w:rsidR="00000000" w:rsidDel="00000000" w:rsidP="00000000" w:rsidRDefault="00000000" w:rsidRPr="00000000" w14:paraId="00000004">
            <w:pPr>
              <w:widowControl w:val="0"/>
              <w:tabs>
                <w:tab w:val="left" w:leader="none" w:pos="4680"/>
              </w:tabs>
              <w:spacing w:after="0" w:before="24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Số: 01/2025/STH/BC-HĐQT</w: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698500</wp:posOffset>
                      </wp:positionH>
                      <wp:positionV relativeFrom="paragraph">
                        <wp:posOffset>30496</wp:posOffset>
                      </wp:positionV>
                      <wp:extent cx="1321435" cy="12700"/>
                      <wp:effectExtent b="0" l="0" r="0" t="0"/>
                      <wp:wrapNone/>
                      <wp:docPr id="2"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698500</wp:posOffset>
                      </wp:positionH>
                      <wp:positionV relativeFrom="paragraph">
                        <wp:posOffset>30496</wp:posOffset>
                      </wp:positionV>
                      <wp:extent cx="132143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tc>
        <w:tc>
          <w:tcPr/>
          <w:p w:rsidR="00000000" w:rsidDel="00000000" w:rsidP="00000000" w:rsidRDefault="00000000" w:rsidRPr="00000000" w14:paraId="00000005">
            <w:pPr>
              <w:widowControl w:val="0"/>
              <w:tabs>
                <w:tab w:val="left" w:leader="none" w:pos="4680"/>
              </w:tabs>
              <w:spacing w:after="0" w:line="240" w:lineRule="auto"/>
              <w:ind w:left="-87"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CỘNG HOÀ XÃ HỘI CHỦ NGHĨA VIỆT NAM</w:t>
            </w:r>
          </w:p>
          <w:p w:rsidR="00000000" w:rsidDel="00000000" w:rsidP="00000000" w:rsidRDefault="00000000" w:rsidRPr="00000000" w14:paraId="00000006">
            <w:pPr>
              <w:widowControl w:val="0"/>
              <w:tabs>
                <w:tab w:val="left" w:leader="none" w:pos="4680"/>
              </w:tabs>
              <w:spacing w:after="0" w:line="240" w:lineRule="auto"/>
              <w:ind w:left="-87"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Độc lập - Tự do - Hạnh phúc</w:t>
            </w:r>
          </w:p>
          <w:p w:rsidR="00000000" w:rsidDel="00000000" w:rsidP="00000000" w:rsidRDefault="00000000" w:rsidRPr="00000000" w14:paraId="00000007">
            <w:pPr>
              <w:widowControl w:val="0"/>
              <w:tabs>
                <w:tab w:val="left" w:leader="none" w:pos="4737"/>
              </w:tabs>
              <w:spacing w:after="0" w:before="240" w:line="240" w:lineRule="auto"/>
              <w:ind w:left="198" w:right="176" w:firstLine="0"/>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i w:val="1"/>
                <w:sz w:val="26"/>
                <w:szCs w:val="26"/>
                <w:rtl w:val="0"/>
              </w:rPr>
              <w:t xml:space="preserve">Thái Nguyên, ngày 15 tháng 04 năm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30496</wp:posOffset>
                      </wp:positionV>
                      <wp:extent cx="2085975" cy="12700"/>
                      <wp:effectExtent b="0" l="0" r="0" t="0"/>
                      <wp:wrapNone/>
                      <wp:docPr id="5"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30496</wp:posOffset>
                      </wp:positionV>
                      <wp:extent cx="2085975"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08">
      <w:pPr>
        <w:widowControl w:val="0"/>
        <w:spacing w:after="0" w:before="36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BÁO CÁO ĐẠI HỘI ĐỒNG CỔ ĐÔNG THƯỜNG NIÊN NĂM 2025</w:t>
      </w:r>
    </w:p>
    <w:p w:rsidR="00000000" w:rsidDel="00000000" w:rsidP="00000000" w:rsidRDefault="00000000" w:rsidRPr="00000000" w14:paraId="00000009">
      <w:pPr>
        <w:widowControl w:val="0"/>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Hoạt động của Hội đồng quản trị năm 2024 và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2159000</wp:posOffset>
                </wp:positionH>
                <wp:positionV relativeFrom="paragraph">
                  <wp:posOffset>419100</wp:posOffset>
                </wp:positionV>
                <wp:extent cx="1441938" cy="12700"/>
                <wp:effectExtent b="0" l="0" r="0" t="0"/>
                <wp:wrapNone/>
                <wp:docPr id="3" name=""/>
                <a:graphic>
                  <a:graphicData uri="http://schemas.microsoft.com/office/word/2010/wordprocessingShape">
                    <wps:wsp>
                      <wps:cNvCnPr/>
                      <wps:spPr>
                        <a:xfrm>
                          <a:off x="4625031" y="3780000"/>
                          <a:ext cx="1441938"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2159000</wp:posOffset>
                </wp:positionH>
                <wp:positionV relativeFrom="paragraph">
                  <wp:posOffset>419100</wp:posOffset>
                </wp:positionV>
                <wp:extent cx="1441938"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1441938" cy="12700"/>
                        </a:xfrm>
                        <a:prstGeom prst="rect"/>
                        <a:ln/>
                      </pic:spPr>
                    </pic:pic>
                  </a:graphicData>
                </a:graphic>
              </wp:anchor>
            </w:drawing>
          </mc:Fallback>
        </mc:AlternateContent>
      </w:r>
    </w:p>
    <w:p w:rsidR="00000000" w:rsidDel="00000000" w:rsidP="00000000" w:rsidRDefault="00000000" w:rsidRPr="00000000" w14:paraId="0000000A">
      <w:pPr>
        <w:widowControl w:val="0"/>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phương hướng hoạt động năm 2025</w:t>
      </w:r>
    </w:p>
    <w:p w:rsidR="00000000" w:rsidDel="00000000" w:rsidP="00000000" w:rsidRDefault="00000000" w:rsidRPr="00000000" w14:paraId="0000000B">
      <w:pPr>
        <w:widowControl w:val="0"/>
        <w:spacing w:after="0" w:before="360"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Kính gửi Đại hội đồng cổ đông.</w:t>
      </w:r>
    </w:p>
    <w:p w:rsidR="00000000" w:rsidDel="00000000" w:rsidP="00000000" w:rsidRDefault="00000000" w:rsidRPr="00000000" w14:paraId="0000000C">
      <w:pPr>
        <w:widowControl w:val="0"/>
        <w:spacing w:after="0" w:before="240" w:line="312" w:lineRule="auto"/>
        <w:ind w:firstLine="567"/>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Hội đồng quản trị xin báo cáo trước Đại hội đồng cổ đông thường niên năm 2025 về kết quả hoạt động năm 2024, phương hướng hoạt động năm 2025 của Hội đồng quản trị như sau:</w:t>
      </w:r>
      <w:r w:rsidDel="00000000" w:rsidR="00000000" w:rsidRPr="00000000">
        <w:rPr>
          <w:rtl w:val="0"/>
        </w:rPr>
      </w:r>
    </w:p>
    <w:p w:rsidR="00000000" w:rsidDel="00000000" w:rsidP="00000000" w:rsidRDefault="00000000" w:rsidRPr="00000000" w14:paraId="0000000D">
      <w:pPr>
        <w:widowControl w:val="0"/>
        <w:spacing w:after="0" w:before="120" w:line="312"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PHẦN I. HOẠT ĐỘNG CỦA HỘI ĐỒNG QUẢN TRỊ NĂM 2024</w:t>
      </w:r>
    </w:p>
    <w:p w:rsidR="00000000" w:rsidDel="00000000" w:rsidP="00000000" w:rsidRDefault="00000000" w:rsidRPr="00000000" w14:paraId="0000000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88" w:lineRule="auto"/>
        <w:ind w:left="1287" w:right="0" w:hanging="720"/>
        <w:jc w:val="both"/>
        <w:rPr>
          <w:rFonts w:ascii="Times New Roman" w:cs="Times New Roman" w:eastAsia="Times New Roman" w:hAnsi="Times New Roman"/>
          <w:b w:val="1"/>
          <w:i w:val="0"/>
          <w:smallCaps w:val="0"/>
          <w:strike w:val="0"/>
          <w:color w:val="000000"/>
          <w:sz w:val="26"/>
          <w:szCs w:val="26"/>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white"/>
          <w:u w:val="none"/>
          <w:vertAlign w:val="baseline"/>
          <w:rtl w:val="0"/>
        </w:rPr>
        <w:t xml:space="preserve">Đặc điểm, tình hình chung:</w:t>
      </w:r>
    </w:p>
    <w:p w:rsidR="00000000" w:rsidDel="00000000" w:rsidP="00000000" w:rsidRDefault="00000000" w:rsidRPr="00000000" w14:paraId="0000000F">
      <w:pPr>
        <w:widowControl w:val="0"/>
        <w:spacing w:after="0" w:line="288" w:lineRule="auto"/>
        <w:ind w:firstLine="567"/>
        <w:jc w:val="both"/>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sz w:val="26"/>
          <w:szCs w:val="26"/>
          <w:rtl w:val="0"/>
        </w:rPr>
        <w:t xml:space="preserve">Năm 2024, thị trường hàng hóa toàn cầu chịu ảnh hưởng bởi diễn biến phức tạp của tình hình chính trị, kinh tế, xã hội thế giới. Xung đột leo thang ở Nga - U-crai-na, Trung Đông. Cạnh tranh chiến lược giữa các nước lớn gay gắt. Bảo hộ thương mại và rào cản thương mại có xu hướng gia tăng khiến cho tình trạng phân mảnh của nền kinh tế toàn cầu diễn ra ngày càng nghiêm trọng. </w:t>
      </w:r>
      <w:r w:rsidDel="00000000" w:rsidR="00000000" w:rsidRPr="00000000">
        <w:rPr>
          <w:rtl w:val="0"/>
        </w:rPr>
      </w:r>
    </w:p>
    <w:p w:rsidR="00000000" w:rsidDel="00000000" w:rsidP="00000000" w:rsidRDefault="00000000" w:rsidRPr="00000000" w14:paraId="00000010">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Mặc dù GDP năm 2024 đạt 476,3 tỷ USD với tốc độ tăng trưởng GDP vượt mức 7%, đứng thứ 33 thế giới,</w:t>
      </w:r>
      <w:r w:rsidDel="00000000" w:rsidR="00000000" w:rsidRPr="00000000">
        <w:rPr>
          <w:rFonts w:ascii="Times New Roman" w:cs="Times New Roman" w:eastAsia="Times New Roman" w:hAnsi="Times New Roman"/>
          <w:sz w:val="26"/>
          <w:szCs w:val="26"/>
          <w:highlight w:val="white"/>
          <w:rtl w:val="0"/>
        </w:rPr>
        <w:t xml:space="preserve"> nhưng không thể phủ nhận những trở ngại đặt ra cho ngành, nhất là khi quá trình hiện đại hóa còn chậm.</w:t>
      </w:r>
      <w:r w:rsidDel="00000000" w:rsidR="00000000" w:rsidRPr="00000000">
        <w:rPr>
          <w:rtl w:val="0"/>
        </w:rPr>
      </w:r>
    </w:p>
    <w:p w:rsidR="00000000" w:rsidDel="00000000" w:rsidP="00000000" w:rsidRDefault="00000000" w:rsidRPr="00000000" w14:paraId="00000011">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Trong bối cảnh khó khăn đó, Hội đồng quản trị (HĐQT) của Công ty đã đưa ra các phương hướng hoạt động và giải pháp kịp thời, để toàn Công ty cùng vượt qua khó khăn, vươn lên những thách thức và đạt được thành quả nhất định trong năm 2024 tạo tiền đề phát triển bền vững trong năm 2025 và những năm tiếp theo.</w:t>
      </w:r>
    </w:p>
    <w:p w:rsidR="00000000" w:rsidDel="00000000" w:rsidP="00000000" w:rsidRDefault="00000000" w:rsidRPr="00000000" w14:paraId="0000001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1287" w:right="0" w:hanging="72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Kết quả hoạt động của  HĐQT năm năm 2024</w:t>
      </w:r>
    </w:p>
    <w:p w:rsidR="00000000" w:rsidDel="00000000" w:rsidP="00000000" w:rsidRDefault="00000000" w:rsidRPr="00000000" w14:paraId="0000001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851" w:right="0" w:hanging="284"/>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Công tác nhân sự HĐQT</w:t>
      </w:r>
    </w:p>
    <w:p w:rsidR="00000000" w:rsidDel="00000000" w:rsidP="00000000" w:rsidRDefault="00000000" w:rsidRPr="00000000" w14:paraId="00000014">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Tính đến ngày 31/12/2024, cơ cấu nhân sự của Hội đồng quản trị như sau:</w:t>
      </w:r>
    </w:p>
    <w:tbl>
      <w:tblPr>
        <w:tblStyle w:val="Table2"/>
        <w:tblW w:w="90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46"/>
        <w:gridCol w:w="2543"/>
        <w:gridCol w:w="2410"/>
        <w:gridCol w:w="3373"/>
        <w:tblGridChange w:id="0">
          <w:tblGrid>
            <w:gridCol w:w="746"/>
            <w:gridCol w:w="2543"/>
            <w:gridCol w:w="2410"/>
            <w:gridCol w:w="3373"/>
          </w:tblGrid>
        </w:tblGridChange>
      </w:tblGrid>
      <w:tr>
        <w:trPr>
          <w:cantSplit w:val="0"/>
          <w:trHeight w:val="607" w:hRule="atLeast"/>
          <w:tblHeader w:val="0"/>
        </w:trPr>
        <w:tc>
          <w:tcPr>
            <w:vAlign w:val="center"/>
          </w:tcPr>
          <w:p w:rsidR="00000000" w:rsidDel="00000000" w:rsidP="00000000" w:rsidRDefault="00000000" w:rsidRPr="00000000" w14:paraId="00000015">
            <w:pPr>
              <w:widowControl w:val="0"/>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STT</w:t>
            </w:r>
          </w:p>
        </w:tc>
        <w:tc>
          <w:tcPr>
            <w:vAlign w:val="center"/>
          </w:tcPr>
          <w:p w:rsidR="00000000" w:rsidDel="00000000" w:rsidP="00000000" w:rsidRDefault="00000000" w:rsidRPr="00000000" w14:paraId="00000016">
            <w:pPr>
              <w:widowControl w:val="0"/>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Họ tên</w:t>
            </w:r>
          </w:p>
        </w:tc>
        <w:tc>
          <w:tcPr>
            <w:vAlign w:val="center"/>
          </w:tcPr>
          <w:p w:rsidR="00000000" w:rsidDel="00000000" w:rsidP="00000000" w:rsidRDefault="00000000" w:rsidRPr="00000000" w14:paraId="00000017">
            <w:pPr>
              <w:widowControl w:val="0"/>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Chức vụ trong HĐQT</w:t>
            </w:r>
          </w:p>
        </w:tc>
        <w:tc>
          <w:tcPr>
            <w:vAlign w:val="center"/>
          </w:tcPr>
          <w:p w:rsidR="00000000" w:rsidDel="00000000" w:rsidP="00000000" w:rsidRDefault="00000000" w:rsidRPr="00000000" w14:paraId="00000018">
            <w:pPr>
              <w:widowControl w:val="0"/>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Chức vụ trong Công ty</w:t>
            </w:r>
          </w:p>
        </w:tc>
      </w:tr>
      <w:tr>
        <w:trPr>
          <w:cantSplit w:val="0"/>
          <w:trHeight w:val="390" w:hRule="atLeast"/>
          <w:tblHeader w:val="0"/>
        </w:trPr>
        <w:tc>
          <w:tcPr>
            <w:vAlign w:val="center"/>
          </w:tcPr>
          <w:p w:rsidR="00000000" w:rsidDel="00000000" w:rsidP="00000000" w:rsidRDefault="00000000" w:rsidRPr="00000000" w14:paraId="00000019">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vAlign w:val="center"/>
          </w:tcPr>
          <w:p w:rsidR="00000000" w:rsidDel="00000000" w:rsidP="00000000" w:rsidRDefault="00000000" w:rsidRPr="00000000" w14:paraId="0000001A">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Nguyễn Nam Tiến</w:t>
            </w:r>
          </w:p>
        </w:tc>
        <w:tc>
          <w:tcPr>
            <w:vAlign w:val="center"/>
          </w:tcPr>
          <w:p w:rsidR="00000000" w:rsidDel="00000000" w:rsidP="00000000" w:rsidRDefault="00000000" w:rsidRPr="00000000" w14:paraId="0000001B">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Chủ</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color w:val="000000"/>
                <w:sz w:val="26"/>
                <w:szCs w:val="26"/>
                <w:rtl w:val="0"/>
              </w:rPr>
              <w:t xml:space="preserve">tịch</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color w:val="000000"/>
                <w:sz w:val="26"/>
                <w:szCs w:val="26"/>
                <w:rtl w:val="0"/>
              </w:rPr>
              <w:t xml:space="preserve">HĐQT</w:t>
            </w:r>
            <w:r w:rsidDel="00000000" w:rsidR="00000000" w:rsidRPr="00000000">
              <w:rPr>
                <w:rtl w:val="0"/>
              </w:rPr>
            </w:r>
          </w:p>
        </w:tc>
        <w:tc>
          <w:tcPr>
            <w:vAlign w:val="center"/>
          </w:tcPr>
          <w:p w:rsidR="00000000" w:rsidDel="00000000" w:rsidP="00000000" w:rsidRDefault="00000000" w:rsidRPr="00000000" w14:paraId="0000001C">
            <w:pPr>
              <w:widowControl w:val="0"/>
              <w:spacing w:line="288" w:lineRule="auto"/>
              <w:ind w:firstLine="38"/>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Chủ tịch HĐQT</w:t>
            </w:r>
          </w:p>
        </w:tc>
      </w:tr>
      <w:tr>
        <w:trPr>
          <w:cantSplit w:val="0"/>
          <w:trHeight w:val="390" w:hRule="atLeast"/>
          <w:tblHeader w:val="0"/>
        </w:trPr>
        <w:tc>
          <w:tcPr>
            <w:vAlign w:val="center"/>
          </w:tcPr>
          <w:p w:rsidR="00000000" w:rsidDel="00000000" w:rsidP="00000000" w:rsidRDefault="00000000" w:rsidRPr="00000000" w14:paraId="0000001D">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vAlign w:val="center"/>
          </w:tcPr>
          <w:p w:rsidR="00000000" w:rsidDel="00000000" w:rsidP="00000000" w:rsidRDefault="00000000" w:rsidRPr="00000000" w14:paraId="0000001E">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Nguyễn Quang Giang</w:t>
            </w:r>
          </w:p>
        </w:tc>
        <w:tc>
          <w:tcPr>
            <w:vAlign w:val="center"/>
          </w:tcPr>
          <w:p w:rsidR="00000000" w:rsidDel="00000000" w:rsidP="00000000" w:rsidRDefault="00000000" w:rsidRPr="00000000" w14:paraId="0000001F">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Thành viên</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color w:val="000000"/>
                <w:sz w:val="26"/>
                <w:szCs w:val="26"/>
                <w:rtl w:val="0"/>
              </w:rPr>
              <w:t xml:space="preserve">HĐQT</w:t>
            </w:r>
            <w:r w:rsidDel="00000000" w:rsidR="00000000" w:rsidRPr="00000000">
              <w:rPr>
                <w:rtl w:val="0"/>
              </w:rPr>
            </w:r>
          </w:p>
        </w:tc>
        <w:tc>
          <w:tcPr>
            <w:vAlign w:val="center"/>
          </w:tcPr>
          <w:p w:rsidR="00000000" w:rsidDel="00000000" w:rsidP="00000000" w:rsidRDefault="00000000" w:rsidRPr="00000000" w14:paraId="00000020">
            <w:pPr>
              <w:widowControl w:val="0"/>
              <w:spacing w:line="288" w:lineRule="auto"/>
              <w:ind w:firstLine="38"/>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Phó Tổng Giám đốc</w:t>
            </w:r>
          </w:p>
          <w:p w:rsidR="00000000" w:rsidDel="00000000" w:rsidP="00000000" w:rsidRDefault="00000000" w:rsidRPr="00000000" w14:paraId="00000021">
            <w:pPr>
              <w:rPr>
                <w:rFonts w:ascii="Times New Roman" w:cs="Times New Roman" w:eastAsia="Times New Roman" w:hAnsi="Times New Roman"/>
                <w:sz w:val="26"/>
                <w:szCs w:val="26"/>
              </w:rPr>
            </w:pPr>
            <w:r w:rsidDel="00000000" w:rsidR="00000000" w:rsidRPr="00000000">
              <w:rPr>
                <w:rtl w:val="0"/>
              </w:rPr>
            </w:r>
          </w:p>
        </w:tc>
      </w:tr>
      <w:tr>
        <w:trPr>
          <w:cantSplit w:val="0"/>
          <w:trHeight w:val="375" w:hRule="atLeast"/>
          <w:tblHeader w:val="0"/>
        </w:trPr>
        <w:tc>
          <w:tcPr>
            <w:vAlign w:val="center"/>
          </w:tcPr>
          <w:p w:rsidR="00000000" w:rsidDel="00000000" w:rsidP="00000000" w:rsidRDefault="00000000" w:rsidRPr="00000000" w14:paraId="00000022">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p w:rsidR="00000000" w:rsidDel="00000000" w:rsidP="00000000" w:rsidRDefault="00000000" w:rsidRPr="00000000" w14:paraId="00000023">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Nguyễn Văn Tuấn</w:t>
            </w:r>
          </w:p>
        </w:tc>
        <w:tc>
          <w:tcPr>
            <w:vAlign w:val="center"/>
          </w:tcPr>
          <w:p w:rsidR="00000000" w:rsidDel="00000000" w:rsidP="00000000" w:rsidRDefault="00000000" w:rsidRPr="00000000" w14:paraId="00000024">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Thành viên</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color w:val="000000"/>
                <w:sz w:val="26"/>
                <w:szCs w:val="26"/>
                <w:rtl w:val="0"/>
              </w:rPr>
              <w:t xml:space="preserve">HĐQT </w:t>
            </w:r>
            <w:r w:rsidDel="00000000" w:rsidR="00000000" w:rsidRPr="00000000">
              <w:rPr>
                <w:rtl w:val="0"/>
              </w:rPr>
            </w:r>
          </w:p>
        </w:tc>
        <w:tc>
          <w:tcPr>
            <w:vAlign w:val="center"/>
          </w:tcPr>
          <w:p w:rsidR="00000000" w:rsidDel="00000000" w:rsidP="00000000" w:rsidRDefault="00000000" w:rsidRPr="00000000" w14:paraId="00000025">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Không</w:t>
            </w:r>
          </w:p>
        </w:tc>
      </w:tr>
      <w:tr>
        <w:trPr>
          <w:cantSplit w:val="0"/>
          <w:trHeight w:val="349" w:hRule="atLeast"/>
          <w:tblHeader w:val="0"/>
        </w:trPr>
        <w:tc>
          <w:tcPr>
            <w:vAlign w:val="center"/>
          </w:tcPr>
          <w:p w:rsidR="00000000" w:rsidDel="00000000" w:rsidP="00000000" w:rsidRDefault="00000000" w:rsidRPr="00000000" w14:paraId="00000026">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w:t>
            </w:r>
          </w:p>
        </w:tc>
        <w:tc>
          <w:tcPr>
            <w:vAlign w:val="center"/>
          </w:tcPr>
          <w:p w:rsidR="00000000" w:rsidDel="00000000" w:rsidP="00000000" w:rsidRDefault="00000000" w:rsidRPr="00000000" w14:paraId="00000027">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Lê Thị Hoài Anh</w:t>
            </w:r>
          </w:p>
        </w:tc>
        <w:tc>
          <w:tcPr>
            <w:vAlign w:val="center"/>
          </w:tcPr>
          <w:p w:rsidR="00000000" w:rsidDel="00000000" w:rsidP="00000000" w:rsidRDefault="00000000" w:rsidRPr="00000000" w14:paraId="00000028">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Thành viên</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color w:val="000000"/>
                <w:sz w:val="26"/>
                <w:szCs w:val="26"/>
                <w:rtl w:val="0"/>
              </w:rPr>
              <w:t xml:space="preserve">HĐQT độc lập</w:t>
            </w:r>
            <w:r w:rsidDel="00000000" w:rsidR="00000000" w:rsidRPr="00000000">
              <w:rPr>
                <w:rtl w:val="0"/>
              </w:rPr>
            </w:r>
          </w:p>
        </w:tc>
        <w:tc>
          <w:tcPr>
            <w:vAlign w:val="center"/>
          </w:tcPr>
          <w:p w:rsidR="00000000" w:rsidDel="00000000" w:rsidP="00000000" w:rsidRDefault="00000000" w:rsidRPr="00000000" w14:paraId="00000029">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Không</w:t>
            </w:r>
          </w:p>
        </w:tc>
      </w:tr>
      <w:tr>
        <w:trPr>
          <w:cantSplit w:val="0"/>
          <w:trHeight w:val="375" w:hRule="atLeast"/>
          <w:tblHeader w:val="0"/>
        </w:trPr>
        <w:tc>
          <w:tcPr>
            <w:vAlign w:val="center"/>
          </w:tcPr>
          <w:p w:rsidR="00000000" w:rsidDel="00000000" w:rsidP="00000000" w:rsidRDefault="00000000" w:rsidRPr="00000000" w14:paraId="0000002A">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w:t>
            </w:r>
          </w:p>
        </w:tc>
        <w:tc>
          <w:tcPr>
            <w:vAlign w:val="center"/>
          </w:tcPr>
          <w:p w:rsidR="00000000" w:rsidDel="00000000" w:rsidP="00000000" w:rsidRDefault="00000000" w:rsidRPr="00000000" w14:paraId="0000002B">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Lã Thị Mai Liên</w:t>
            </w:r>
          </w:p>
        </w:tc>
        <w:tc>
          <w:tcPr>
            <w:vAlign w:val="center"/>
          </w:tcPr>
          <w:p w:rsidR="00000000" w:rsidDel="00000000" w:rsidP="00000000" w:rsidRDefault="00000000" w:rsidRPr="00000000" w14:paraId="0000002C">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Thành viên</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color w:val="000000"/>
                <w:sz w:val="26"/>
                <w:szCs w:val="26"/>
                <w:rtl w:val="0"/>
              </w:rPr>
              <w:t xml:space="preserve">HĐQT</w:t>
            </w:r>
            <w:r w:rsidDel="00000000" w:rsidR="00000000" w:rsidRPr="00000000">
              <w:rPr>
                <w:rtl w:val="0"/>
              </w:rPr>
            </w:r>
          </w:p>
        </w:tc>
        <w:tc>
          <w:tcPr>
            <w:vAlign w:val="center"/>
          </w:tcPr>
          <w:p w:rsidR="00000000" w:rsidDel="00000000" w:rsidP="00000000" w:rsidRDefault="00000000" w:rsidRPr="00000000" w14:paraId="0000002D">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Phó Tổng Giám đốc</w:t>
            </w:r>
          </w:p>
        </w:tc>
      </w:tr>
    </w:tbl>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0" w:before="120" w:line="288" w:lineRule="auto"/>
        <w:ind w:left="993"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993" w:right="0" w:hanging="426"/>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Kết quả thực hiện nghị quyết ĐHĐCĐ năm 2024</w:t>
      </w:r>
    </w:p>
    <w:p w:rsidR="00000000" w:rsidDel="00000000" w:rsidP="00000000" w:rsidRDefault="00000000" w:rsidRPr="00000000" w14:paraId="00000030">
      <w:pPr>
        <w:widowControl w:val="0"/>
        <w:tabs>
          <w:tab w:val="left" w:leader="none" w:pos="567"/>
        </w:tabs>
        <w:spacing w:before="120" w:line="288"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2.1. Hoạt động kinh doanh, đầu tư:</w:t>
      </w:r>
    </w:p>
    <w:p w:rsidR="00000000" w:rsidDel="00000000" w:rsidP="00000000" w:rsidRDefault="00000000" w:rsidRPr="00000000" w14:paraId="00000031">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Năm 2024, HĐQT thực hiện tốt chức năng nhiệm vụ của mình, hoạch định chiến lược, chỉ đạo điều hành và giám sát việc thực hiện, đảm bảo đúng mục tiêu định hướng kế hoạch theo Nghị quyết của ĐHĐCĐ đã thông qua.</w:t>
      </w:r>
    </w:p>
    <w:p w:rsidR="00000000" w:rsidDel="00000000" w:rsidP="00000000" w:rsidRDefault="00000000" w:rsidRPr="00000000" w14:paraId="00000032">
      <w:pPr>
        <w:widowControl w:val="0"/>
        <w:spacing w:after="0" w:line="288" w:lineRule="auto"/>
        <w:ind w:firstLine="567"/>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2.1.1 Kết quả kinh doanh năm 2024 như sau:</w:t>
      </w:r>
    </w:p>
    <w:p w:rsidR="00000000" w:rsidDel="00000000" w:rsidP="00000000" w:rsidRDefault="00000000" w:rsidRPr="00000000" w14:paraId="00000033">
      <w:pPr>
        <w:widowControl w:val="0"/>
        <w:spacing w:after="0" w:line="288" w:lineRule="auto"/>
        <w:ind w:firstLine="567"/>
        <w:jc w:val="right"/>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Đơn vị tính: đồng</w:t>
      </w:r>
    </w:p>
    <w:tbl>
      <w:tblPr>
        <w:tblStyle w:val="Table3"/>
        <w:tblW w:w="8901.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6"/>
        <w:gridCol w:w="1843"/>
        <w:gridCol w:w="2098"/>
        <w:gridCol w:w="1984"/>
        <w:tblGridChange w:id="0">
          <w:tblGrid>
            <w:gridCol w:w="2976"/>
            <w:gridCol w:w="1843"/>
            <w:gridCol w:w="2098"/>
            <w:gridCol w:w="1984"/>
          </w:tblGrid>
        </w:tblGridChange>
      </w:tblGrid>
      <w:tr>
        <w:trPr>
          <w:cantSplit w:val="0"/>
          <w:trHeight w:val="823" w:hRule="atLeast"/>
          <w:tblHeader w:val="1"/>
        </w:trPr>
        <w:tc>
          <w:tcPr>
            <w:shd w:fill="auto" w:val="clear"/>
            <w:vAlign w:val="center"/>
          </w:tcPr>
          <w:bookmarkStart w:colFirst="0" w:colLast="0" w:name="iyu5axacfrx6" w:id="0"/>
          <w:bookmarkEnd w:id="0"/>
          <w:bookmarkStart w:colFirst="0" w:colLast="0" w:name="709hvsdloz4t" w:id="1"/>
          <w:bookmarkEnd w:id="1"/>
          <w:p w:rsidR="00000000" w:rsidDel="00000000" w:rsidP="00000000" w:rsidRDefault="00000000" w:rsidRPr="00000000" w14:paraId="00000034">
            <w:pPr>
              <w:widowControl w:val="0"/>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Chỉ tiêu</w:t>
            </w:r>
          </w:p>
        </w:tc>
        <w:tc>
          <w:tcPr>
            <w:shd w:fill="auto" w:val="clear"/>
            <w:vAlign w:val="center"/>
          </w:tcPr>
          <w:p w:rsidR="00000000" w:rsidDel="00000000" w:rsidP="00000000" w:rsidRDefault="00000000" w:rsidRPr="00000000" w14:paraId="00000035">
            <w:pPr>
              <w:widowControl w:val="0"/>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Kế hoạch năm 2024</w:t>
            </w:r>
          </w:p>
        </w:tc>
        <w:tc>
          <w:tcPr>
            <w:shd w:fill="auto" w:val="clear"/>
            <w:vAlign w:val="center"/>
          </w:tcPr>
          <w:p w:rsidR="00000000" w:rsidDel="00000000" w:rsidP="00000000" w:rsidRDefault="00000000" w:rsidRPr="00000000" w14:paraId="00000036">
            <w:pPr>
              <w:widowControl w:val="0"/>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Thực hiện năm 2024</w:t>
            </w:r>
          </w:p>
        </w:tc>
        <w:tc>
          <w:tcPr>
            <w:shd w:fill="auto" w:val="clear"/>
            <w:vAlign w:val="center"/>
          </w:tcPr>
          <w:p w:rsidR="00000000" w:rsidDel="00000000" w:rsidP="00000000" w:rsidRDefault="00000000" w:rsidRPr="00000000" w14:paraId="00000037">
            <w:pPr>
              <w:widowControl w:val="0"/>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Mức độ hoàn thành (%)</w:t>
            </w:r>
          </w:p>
        </w:tc>
      </w:tr>
      <w:tr>
        <w:trPr>
          <w:cantSplit w:val="0"/>
          <w:trHeight w:val="465" w:hRule="atLeast"/>
          <w:tblHeader w:val="0"/>
        </w:trPr>
        <w:tc>
          <w:tcPr>
            <w:shd w:fill="auto" w:val="clear"/>
            <w:vAlign w:val="center"/>
          </w:tcPr>
          <w:p w:rsidR="00000000" w:rsidDel="00000000" w:rsidP="00000000" w:rsidRDefault="00000000" w:rsidRPr="00000000" w14:paraId="00000038">
            <w:pPr>
              <w:widowControl w:val="0"/>
              <w:spacing w:line="288" w:lineRule="auto"/>
              <w:rPr>
                <w:rFonts w:ascii="Times New Roman" w:cs="Times New Roman" w:eastAsia="Times New Roman" w:hAnsi="Times New Roman"/>
                <w:sz w:val="26"/>
                <w:szCs w:val="26"/>
              </w:rPr>
            </w:pPr>
            <w:bookmarkStart w:colFirst="0" w:colLast="0" w:name="_9qkhpimv824v" w:id="2"/>
            <w:bookmarkEnd w:id="2"/>
            <w:r w:rsidDel="00000000" w:rsidR="00000000" w:rsidRPr="00000000">
              <w:rPr>
                <w:rFonts w:ascii="Times New Roman" w:cs="Times New Roman" w:eastAsia="Times New Roman" w:hAnsi="Times New Roman"/>
                <w:sz w:val="26"/>
                <w:szCs w:val="26"/>
                <w:rtl w:val="0"/>
              </w:rPr>
              <w:t xml:space="preserve">- Doanh thu</w:t>
            </w:r>
          </w:p>
        </w:tc>
        <w:tc>
          <w:tcPr>
            <w:shd w:fill="auto" w:val="clear"/>
            <w:vAlign w:val="center"/>
          </w:tcPr>
          <w:p w:rsidR="00000000" w:rsidDel="00000000" w:rsidP="00000000" w:rsidRDefault="00000000" w:rsidRPr="00000000" w14:paraId="00000039">
            <w:pPr>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35.000.000.000</w:t>
            </w:r>
          </w:p>
        </w:tc>
        <w:tc>
          <w:tcPr>
            <w:shd w:fill="auto" w:val="clear"/>
            <w:vAlign w:val="center"/>
          </w:tcPr>
          <w:p w:rsidR="00000000" w:rsidDel="00000000" w:rsidP="00000000" w:rsidRDefault="00000000" w:rsidRPr="00000000" w14:paraId="0000003A">
            <w:pPr>
              <w:widowControl w:val="0"/>
              <w:spacing w:line="288" w:lineRule="auto"/>
              <w:jc w:val="right"/>
              <w:rPr>
                <w:rFonts w:ascii="Times New Roman" w:cs="Times New Roman" w:eastAsia="Times New Roman" w:hAnsi="Times New Roman"/>
                <w:sz w:val="26"/>
                <w:szCs w:val="26"/>
                <w:highlight w:val="red"/>
              </w:rPr>
            </w:pPr>
            <w:r w:rsidDel="00000000" w:rsidR="00000000" w:rsidRPr="00000000">
              <w:rPr>
                <w:rFonts w:ascii="Times New Roman" w:cs="Times New Roman" w:eastAsia="Times New Roman" w:hAnsi="Times New Roman"/>
                <w:sz w:val="26"/>
                <w:szCs w:val="26"/>
                <w:rtl w:val="0"/>
              </w:rPr>
              <w:t xml:space="preserve">27.334.111.010</w:t>
            </w:r>
            <w:r w:rsidDel="00000000" w:rsidR="00000000" w:rsidRPr="00000000">
              <w:rPr>
                <w:rtl w:val="0"/>
              </w:rPr>
            </w:r>
          </w:p>
        </w:tc>
        <w:tc>
          <w:tcPr>
            <w:shd w:fill="auto" w:val="clear"/>
            <w:vAlign w:val="center"/>
          </w:tcPr>
          <w:p w:rsidR="00000000" w:rsidDel="00000000" w:rsidP="00000000" w:rsidRDefault="00000000" w:rsidRPr="00000000" w14:paraId="0000003B">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78</w:t>
            </w:r>
          </w:p>
        </w:tc>
      </w:tr>
      <w:tr>
        <w:trPr>
          <w:cantSplit w:val="0"/>
          <w:trHeight w:val="465" w:hRule="atLeast"/>
          <w:tblHeader w:val="0"/>
        </w:trPr>
        <w:tc>
          <w:tcPr>
            <w:shd w:fill="auto" w:val="clear"/>
            <w:vAlign w:val="center"/>
          </w:tcPr>
          <w:p w:rsidR="00000000" w:rsidDel="00000000" w:rsidP="00000000" w:rsidRDefault="00000000" w:rsidRPr="00000000" w14:paraId="0000003C">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Lợi nhuận trước thuế</w:t>
            </w:r>
          </w:p>
        </w:tc>
        <w:tc>
          <w:tcPr>
            <w:shd w:fill="auto" w:val="clear"/>
            <w:vAlign w:val="center"/>
          </w:tcPr>
          <w:p w:rsidR="00000000" w:rsidDel="00000000" w:rsidP="00000000" w:rsidRDefault="00000000" w:rsidRPr="00000000" w14:paraId="0000003D">
            <w:pPr>
              <w:jc w:val="right"/>
              <w:rPr>
                <w:rFonts w:ascii="Times New Roman" w:cs="Times New Roman" w:eastAsia="Times New Roman" w:hAnsi="Times New Roman"/>
                <w:sz w:val="26"/>
                <w:szCs w:val="26"/>
                <w:highlight w:val="red"/>
              </w:rPr>
            </w:pPr>
            <w:r w:rsidDel="00000000" w:rsidR="00000000" w:rsidRPr="00000000">
              <w:rPr>
                <w:rFonts w:ascii="Times New Roman" w:cs="Times New Roman" w:eastAsia="Times New Roman" w:hAnsi="Times New Roman"/>
                <w:sz w:val="24"/>
                <w:szCs w:val="24"/>
                <w:rtl w:val="0"/>
              </w:rPr>
              <w:t xml:space="preserve">2.800.000.000</w:t>
            </w:r>
            <w:r w:rsidDel="00000000" w:rsidR="00000000" w:rsidRPr="00000000">
              <w:rPr>
                <w:rtl w:val="0"/>
              </w:rPr>
            </w:r>
          </w:p>
        </w:tc>
        <w:tc>
          <w:tcPr>
            <w:shd w:fill="auto" w:val="clear"/>
            <w:vAlign w:val="center"/>
          </w:tcPr>
          <w:p w:rsidR="00000000" w:rsidDel="00000000" w:rsidP="00000000" w:rsidRDefault="00000000" w:rsidRPr="00000000" w14:paraId="0000003E">
            <w:pPr>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1.279.870.211</w:t>
            </w:r>
          </w:p>
        </w:tc>
        <w:tc>
          <w:tcPr>
            <w:shd w:fill="auto" w:val="clear"/>
            <w:vAlign w:val="center"/>
          </w:tcPr>
          <w:p w:rsidR="00000000" w:rsidDel="00000000" w:rsidP="00000000" w:rsidRDefault="00000000" w:rsidRPr="00000000" w14:paraId="0000003F">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46</w:t>
            </w:r>
          </w:p>
        </w:tc>
      </w:tr>
      <w:tr>
        <w:trPr>
          <w:cantSplit w:val="0"/>
          <w:trHeight w:val="465" w:hRule="atLeast"/>
          <w:tblHeader w:val="0"/>
        </w:trPr>
        <w:tc>
          <w:tcPr>
            <w:shd w:fill="auto" w:val="clear"/>
            <w:vAlign w:val="center"/>
          </w:tcPr>
          <w:p w:rsidR="00000000" w:rsidDel="00000000" w:rsidP="00000000" w:rsidRDefault="00000000" w:rsidRPr="00000000" w14:paraId="00000040">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Lợi nhuận sau thuế</w:t>
            </w:r>
          </w:p>
        </w:tc>
        <w:tc>
          <w:tcPr>
            <w:shd w:fill="auto" w:val="clear"/>
            <w:vAlign w:val="center"/>
          </w:tcPr>
          <w:p w:rsidR="00000000" w:rsidDel="00000000" w:rsidP="00000000" w:rsidRDefault="00000000" w:rsidRPr="00000000" w14:paraId="00000041">
            <w:pPr>
              <w:widowControl w:val="0"/>
              <w:spacing w:line="288" w:lineRule="auto"/>
              <w:jc w:val="right"/>
              <w:rPr>
                <w:rFonts w:ascii="Times New Roman" w:cs="Times New Roman" w:eastAsia="Times New Roman" w:hAnsi="Times New Roman"/>
                <w:sz w:val="26"/>
                <w:szCs w:val="26"/>
                <w:highlight w:val="red"/>
              </w:rPr>
            </w:pPr>
            <w:r w:rsidDel="00000000" w:rsidR="00000000" w:rsidRPr="00000000">
              <w:rPr>
                <w:rFonts w:ascii="Times New Roman" w:cs="Times New Roman" w:eastAsia="Times New Roman" w:hAnsi="Times New Roman"/>
                <w:sz w:val="24"/>
                <w:szCs w:val="24"/>
                <w:rtl w:val="0"/>
              </w:rPr>
              <w:t xml:space="preserve">2.240.000.000</w:t>
            </w:r>
            <w:r w:rsidDel="00000000" w:rsidR="00000000" w:rsidRPr="00000000">
              <w:rPr>
                <w:rtl w:val="0"/>
              </w:rPr>
            </w:r>
          </w:p>
        </w:tc>
        <w:tc>
          <w:tcPr>
            <w:shd w:fill="auto" w:val="clear"/>
            <w:vAlign w:val="center"/>
          </w:tcPr>
          <w:p w:rsidR="00000000" w:rsidDel="00000000" w:rsidP="00000000" w:rsidRDefault="00000000" w:rsidRPr="00000000" w14:paraId="00000042">
            <w:pPr>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1.279.870.211</w:t>
            </w:r>
          </w:p>
        </w:tc>
        <w:tc>
          <w:tcPr>
            <w:shd w:fill="auto" w:val="clear"/>
            <w:vAlign w:val="center"/>
          </w:tcPr>
          <w:p w:rsidR="00000000" w:rsidDel="00000000" w:rsidP="00000000" w:rsidRDefault="00000000" w:rsidRPr="00000000" w14:paraId="00000043">
            <w:pPr>
              <w:widowControl w:val="0"/>
              <w:spacing w:line="288" w:lineRule="auto"/>
              <w:jc w:val="center"/>
              <w:rPr>
                <w:rFonts w:ascii="Times New Roman" w:cs="Times New Roman" w:eastAsia="Times New Roman" w:hAnsi="Times New Roman"/>
                <w:sz w:val="26"/>
                <w:szCs w:val="26"/>
                <w:highlight w:val="red"/>
              </w:rPr>
            </w:pPr>
            <w:r w:rsidDel="00000000" w:rsidR="00000000" w:rsidRPr="00000000">
              <w:rPr>
                <w:rFonts w:ascii="Times New Roman" w:cs="Times New Roman" w:eastAsia="Times New Roman" w:hAnsi="Times New Roman"/>
                <w:sz w:val="26"/>
                <w:szCs w:val="26"/>
                <w:rtl w:val="0"/>
              </w:rPr>
              <w:t xml:space="preserve">57</w:t>
            </w:r>
            <w:r w:rsidDel="00000000" w:rsidR="00000000" w:rsidRPr="00000000">
              <w:rPr>
                <w:rtl w:val="0"/>
              </w:rPr>
            </w:r>
          </w:p>
        </w:tc>
      </w:tr>
      <w:tr>
        <w:trPr>
          <w:cantSplit w:val="0"/>
          <w:trHeight w:val="483" w:hRule="atLeast"/>
          <w:tblHeader w:val="0"/>
        </w:trPr>
        <w:tc>
          <w:tcPr>
            <w:shd w:fill="auto" w:val="clear"/>
            <w:vAlign w:val="center"/>
          </w:tcPr>
          <w:p w:rsidR="00000000" w:rsidDel="00000000" w:rsidP="00000000" w:rsidRDefault="00000000" w:rsidRPr="00000000" w14:paraId="00000044">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Lãi cơ bản trên cổ phiếu</w:t>
            </w:r>
          </w:p>
        </w:tc>
        <w:tc>
          <w:tcPr>
            <w:shd w:fill="auto" w:val="clear"/>
            <w:vAlign w:val="center"/>
          </w:tcPr>
          <w:p w:rsidR="00000000" w:rsidDel="00000000" w:rsidP="00000000" w:rsidRDefault="00000000" w:rsidRPr="00000000" w14:paraId="00000045">
            <w:pPr>
              <w:widowControl w:val="0"/>
              <w:spacing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115</w:t>
            </w:r>
          </w:p>
        </w:tc>
        <w:tc>
          <w:tcPr>
            <w:shd w:fill="auto" w:val="clear"/>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92"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66</w:t>
            </w:r>
          </w:p>
        </w:tc>
        <w:tc>
          <w:tcPr>
            <w:shd w:fill="auto" w:val="clear"/>
            <w:vAlign w:val="cente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57</w:t>
            </w:r>
          </w:p>
        </w:tc>
      </w:tr>
    </w:tbl>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2"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49">
      <w:pPr>
        <w:widowControl w:val="0"/>
        <w:spacing w:after="0" w:line="288" w:lineRule="auto"/>
        <w:ind w:firstLine="567"/>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2.1.2. Hoạt động đầu tư:</w:t>
      </w:r>
    </w:p>
    <w:p w:rsidR="00000000" w:rsidDel="00000000" w:rsidP="00000000" w:rsidRDefault="00000000" w:rsidRPr="00000000" w14:paraId="0000004A">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Trong năm 2024, Hội đồng quản trị đánh giá nền kinh tế vẫn còn nhiều khó khăn và rủi ro khó lường, do đó các dự án đầu tư của Công ty vẫn đang trong quá trình chuẩn bị kỹ càng để tạo nền tảng vững vàng cho sự phát triển mạnh mẽ trong thời gian tới. </w:t>
      </w:r>
    </w:p>
    <w:p w:rsidR="00000000" w:rsidDel="00000000" w:rsidP="00000000" w:rsidRDefault="00000000" w:rsidRPr="00000000" w14:paraId="0000004B">
      <w:pPr>
        <w:widowControl w:val="0"/>
        <w:tabs>
          <w:tab w:val="left" w:leader="none" w:pos="567"/>
        </w:tabs>
        <w:spacing w:before="120" w:line="288"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2.2. Phân phối lợi nhuận năm 2024.</w:t>
      </w:r>
    </w:p>
    <w:p w:rsidR="00000000" w:rsidDel="00000000" w:rsidP="00000000" w:rsidRDefault="00000000" w:rsidRPr="00000000" w14:paraId="0000004C">
      <w:pPr>
        <w:widowControl w:val="0"/>
        <w:tabs>
          <w:tab w:val="left" w:leader="none" w:pos="567"/>
        </w:tabs>
        <w:spacing w:before="120" w:line="288" w:lineRule="auto"/>
        <w:ind w:firstLine="567"/>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Kết quả hoạt động kinh doanh luỹ kế năm 2023 chuyển sang năm 2024 là: 1.279 triệu đồng, tổng lợi nhuận luỹ kế đến 31/12/2024 là: 3.482 Triệu đồng.</w:t>
      </w:r>
      <w:r w:rsidDel="00000000" w:rsidR="00000000" w:rsidRPr="00000000">
        <w:rPr>
          <w:rtl w:val="0"/>
        </w:rPr>
      </w:r>
    </w:p>
    <w:p w:rsidR="00000000" w:rsidDel="00000000" w:rsidP="00000000" w:rsidRDefault="00000000" w:rsidRPr="00000000" w14:paraId="0000004D">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Tuy nhiên, năm 2025 Công ty có kế hoạch tiếp tục đầu tư vốn xây dựng trụ sở chính và bổ sung vốn cho hoạt động sản xuất kinh doanh, đồng thời tập trung bảo toàn và phát triển ổn định vốn chủ sở hữu. Do đó Công ty không phân phối lợi nhuận và chi cổ tức cho năm 2024.</w:t>
      </w:r>
    </w:p>
    <w:p w:rsidR="00000000" w:rsidDel="00000000" w:rsidP="00000000" w:rsidRDefault="00000000" w:rsidRPr="00000000" w14:paraId="0000004E">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spacing w:after="0" w:before="0" w:line="288" w:lineRule="auto"/>
        <w:ind w:left="720" w:right="0" w:hanging="72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Về thù lao HĐQT, BKS năm 2024.</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2277" w:right="0" w:firstLine="0"/>
        <w:jc w:val="righ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Đơn vị tính: đồng</w:t>
      </w:r>
    </w:p>
    <w:tbl>
      <w:tblPr>
        <w:tblStyle w:val="Table4"/>
        <w:tblW w:w="9395.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46"/>
        <w:gridCol w:w="2231"/>
        <w:gridCol w:w="2127"/>
        <w:gridCol w:w="2713"/>
        <w:gridCol w:w="1578"/>
        <w:tblGridChange w:id="0">
          <w:tblGrid>
            <w:gridCol w:w="746"/>
            <w:gridCol w:w="2231"/>
            <w:gridCol w:w="2127"/>
            <w:gridCol w:w="2713"/>
            <w:gridCol w:w="1578"/>
          </w:tblGrid>
        </w:tblGridChange>
      </w:tblGrid>
      <w:tr>
        <w:trPr>
          <w:cantSplit w:val="0"/>
          <w:trHeight w:val="354" w:hRule="atLeast"/>
          <w:tblHeader w:val="0"/>
        </w:trPr>
        <w:tc>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STT</w:t>
            </w:r>
          </w:p>
        </w:tc>
        <w:tc>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Chỉ tiêu</w:t>
            </w:r>
          </w:p>
        </w:tc>
        <w:tc>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Kế hoạch 2024</w:t>
            </w:r>
          </w:p>
        </w:tc>
        <w:tc>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Thực hiện năm 2024</w:t>
            </w:r>
          </w:p>
        </w:tc>
        <w:tc>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Tỷ lệ</w:t>
            </w:r>
          </w:p>
        </w:tc>
      </w:tr>
      <w:tr>
        <w:trPr>
          <w:cantSplit w:val="0"/>
          <w:trHeight w:val="372" w:hRule="atLeast"/>
          <w:tblHeader w:val="0"/>
        </w:trPr>
        <w:tc>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w:t>
            </w:r>
          </w:p>
        </w:tc>
        <w:tc>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HĐQT</w:t>
            </w:r>
          </w:p>
        </w:tc>
        <w:tc>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149.760.000</w:t>
            </w:r>
          </w:p>
        </w:tc>
        <w:tc>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149.760.000</w:t>
            </w:r>
          </w:p>
        </w:tc>
        <w:tc>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100%</w:t>
            </w:r>
          </w:p>
        </w:tc>
      </w:tr>
      <w:tr>
        <w:trPr>
          <w:cantSplit w:val="0"/>
          <w:trHeight w:val="372" w:hRule="atLeast"/>
          <w:tblHeader w:val="0"/>
        </w:trPr>
        <w:tc>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w:t>
            </w:r>
          </w:p>
        </w:tc>
        <w:tc>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Ban kiểm soát</w:t>
            </w:r>
          </w:p>
        </w:tc>
        <w:tc>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49.920.000</w:t>
            </w:r>
          </w:p>
        </w:tc>
        <w:tc>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49.920.000</w:t>
            </w:r>
          </w:p>
        </w:tc>
        <w:tc>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100%</w:t>
            </w:r>
          </w:p>
        </w:tc>
      </w:tr>
      <w:tr>
        <w:trPr>
          <w:cantSplit w:val="0"/>
          <w:trHeight w:val="382" w:hRule="atLeast"/>
          <w:tblHeader w:val="0"/>
        </w:trPr>
        <w:tc>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Tổng:</w:t>
            </w:r>
          </w:p>
        </w:tc>
        <w:tc>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199.680.000</w:t>
            </w:r>
            <w:r w:rsidDel="00000000" w:rsidR="00000000" w:rsidRPr="00000000">
              <w:rPr>
                <w:rtl w:val="0"/>
              </w:rPr>
            </w:r>
          </w:p>
        </w:tc>
        <w:tc>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199.680.000</w:t>
            </w:r>
          </w:p>
        </w:tc>
        <w:tc>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100%</w:t>
            </w:r>
          </w:p>
        </w:tc>
      </w:tr>
    </w:tbl>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1917"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1917" w:right="0" w:hanging="1350"/>
        <w:jc w:val="both"/>
        <w:rPr>
          <w:rFonts w:ascii="Times New Roman" w:cs="Times New Roman" w:eastAsia="Times New Roman" w:hAnsi="Times New Roman"/>
          <w:b w:val="1"/>
          <w:i w:val="1"/>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1917" w:right="0" w:hanging="1350"/>
        <w:jc w:val="both"/>
        <w:rPr>
          <w:rFonts w:ascii="Times New Roman" w:cs="Times New Roman" w:eastAsia="Times New Roman" w:hAnsi="Times New Roman"/>
          <w:b w:val="1"/>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6"/>
          <w:szCs w:val="26"/>
          <w:u w:val="none"/>
          <w:shd w:fill="auto" w:val="clear"/>
          <w:vertAlign w:val="baseline"/>
          <w:rtl w:val="0"/>
        </w:rPr>
        <w:t xml:space="preserve">Trong đó, thù lao chi tiết của từng thành viên như sau:</w:t>
      </w:r>
    </w:p>
    <w:tbl>
      <w:tblPr>
        <w:tblStyle w:val="Table5"/>
        <w:tblW w:w="9425.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46"/>
        <w:gridCol w:w="3507"/>
        <w:gridCol w:w="5172"/>
        <w:tblGridChange w:id="0">
          <w:tblGrid>
            <w:gridCol w:w="746"/>
            <w:gridCol w:w="3507"/>
            <w:gridCol w:w="5172"/>
          </w:tblGrid>
        </w:tblGridChange>
      </w:tblGrid>
      <w:tr>
        <w:trPr>
          <w:cantSplit w:val="0"/>
          <w:trHeight w:val="529" w:hRule="atLeast"/>
          <w:tblHeader w:val="0"/>
        </w:trPr>
        <w:tc>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STT</w:t>
            </w:r>
          </w:p>
        </w:tc>
        <w:tc>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Họ và tên</w:t>
            </w:r>
          </w:p>
        </w:tc>
        <w:tc>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Tổng thu lao năm 2024 (vnđ/người/năm)</w:t>
            </w:r>
          </w:p>
        </w:tc>
      </w:tr>
      <w:tr>
        <w:trPr>
          <w:cantSplit w:val="0"/>
          <w:trHeight w:val="373" w:hRule="atLeast"/>
          <w:tblHeader w:val="0"/>
        </w:trPr>
        <w:tc>
          <w:tcPr>
            <w:gridSpan w:val="3"/>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Hội đồng quản trị</w:t>
            </w:r>
          </w:p>
        </w:tc>
      </w:tr>
      <w:tr>
        <w:trPr>
          <w:cantSplit w:val="0"/>
          <w:trHeight w:val="383" w:hRule="atLeast"/>
          <w:tblHeader w:val="0"/>
        </w:trPr>
        <w:tc>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w:t>
            </w:r>
          </w:p>
        </w:tc>
        <w:tc>
          <w:tcPr>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Nam Tiến</w:t>
            </w:r>
          </w:p>
        </w:tc>
        <w:tc>
          <w:tcPr>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33.280.000</w:t>
            </w:r>
          </w:p>
        </w:tc>
      </w:tr>
      <w:tr>
        <w:trPr>
          <w:cantSplit w:val="0"/>
          <w:trHeight w:val="393" w:hRule="atLeast"/>
          <w:tblHeader w:val="0"/>
        </w:trPr>
        <w:tc>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w:t>
            </w:r>
          </w:p>
        </w:tc>
        <w:tc>
          <w:tcPr>
            <w:vAlign w:val="center"/>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Quốc Thái</w:t>
            </w:r>
          </w:p>
        </w:tc>
        <w:tc>
          <w:tcPr>
            <w:vAlign w:val="center"/>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16.640.000</w:t>
            </w:r>
          </w:p>
        </w:tc>
      </w:tr>
      <w:tr>
        <w:trPr>
          <w:cantSplit w:val="0"/>
          <w:trHeight w:val="383" w:hRule="atLeast"/>
          <w:tblHeader w:val="0"/>
        </w:trPr>
        <w:tc>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w:t>
            </w:r>
          </w:p>
        </w:tc>
        <w:tc>
          <w:tcPr>
            <w:vAlign w:val="cente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Văn Tuấn</w:t>
            </w:r>
          </w:p>
        </w:tc>
        <w:tc>
          <w:tcPr>
            <w:vAlign w:val="cente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16.640.000</w:t>
            </w:r>
          </w:p>
        </w:tc>
      </w:tr>
      <w:tr>
        <w:trPr>
          <w:cantSplit w:val="0"/>
          <w:trHeight w:val="393" w:hRule="atLeast"/>
          <w:tblHeader w:val="0"/>
        </w:trPr>
        <w:tc>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w:t>
            </w:r>
          </w:p>
        </w:tc>
        <w:tc>
          <w:tcPr>
            <w:vAlign w:val="cente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Quang Giang</w:t>
            </w:r>
          </w:p>
        </w:tc>
        <w:tc>
          <w:tcPr>
            <w:vAlign w:val="cente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16.640.000</w:t>
            </w:r>
          </w:p>
        </w:tc>
      </w:tr>
      <w:tr>
        <w:trPr>
          <w:cantSplit w:val="0"/>
          <w:trHeight w:val="383" w:hRule="atLeast"/>
          <w:tblHeader w:val="0"/>
        </w:trPr>
        <w:tc>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w:t>
            </w:r>
          </w:p>
        </w:tc>
        <w:tc>
          <w:tcPr>
            <w:vAlign w:val="center"/>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Lã Thị Mai Liên</w:t>
            </w:r>
          </w:p>
        </w:tc>
        <w:tc>
          <w:tcPr>
            <w:vAlign w:val="cente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24.960.000</w:t>
            </w:r>
          </w:p>
        </w:tc>
      </w:tr>
      <w:tr>
        <w:trPr>
          <w:cantSplit w:val="0"/>
          <w:trHeight w:val="383" w:hRule="atLeast"/>
          <w:tblHeader w:val="0"/>
        </w:trPr>
        <w:tc>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w:t>
            </w:r>
          </w:p>
        </w:tc>
        <w:tc>
          <w:tcPr>
            <w:vAlign w:val="center"/>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Lê Thị Hoài Anh</w:t>
            </w:r>
          </w:p>
        </w:tc>
        <w:tc>
          <w:tcPr>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24.960.000</w:t>
            </w:r>
          </w:p>
        </w:tc>
      </w:tr>
      <w:tr>
        <w:trPr>
          <w:cantSplit w:val="0"/>
          <w:trHeight w:val="383" w:hRule="atLeast"/>
          <w:tblHeader w:val="0"/>
        </w:trPr>
        <w:tc>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7</w:t>
            </w:r>
          </w:p>
        </w:tc>
        <w:tc>
          <w:tcP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Thị Quy</w:t>
            </w:r>
          </w:p>
        </w:tc>
        <w:tc>
          <w:tcPr>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8.320.000</w:t>
            </w:r>
          </w:p>
        </w:tc>
      </w:tr>
      <w:tr>
        <w:trPr>
          <w:cantSplit w:val="0"/>
          <w:trHeight w:val="383" w:hRule="atLeast"/>
          <w:tblHeader w:val="0"/>
        </w:trPr>
        <w:tc>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8</w:t>
            </w:r>
          </w:p>
        </w:tc>
        <w:tc>
          <w:tcPr>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Thị Vinh</w:t>
            </w:r>
          </w:p>
        </w:tc>
        <w:tc>
          <w:tcPr>
            <w:vAlign w:val="cente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8.320.000</w:t>
            </w:r>
          </w:p>
        </w:tc>
      </w:tr>
      <w:tr>
        <w:trPr>
          <w:cantSplit w:val="0"/>
          <w:trHeight w:val="383" w:hRule="atLeast"/>
          <w:tblHeader w:val="0"/>
        </w:trPr>
        <w:tc>
          <w:tcPr>
            <w:gridSpan w:val="3"/>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Ban kiểm soát</w:t>
            </w:r>
          </w:p>
        </w:tc>
      </w:tr>
      <w:tr>
        <w:trPr>
          <w:cantSplit w:val="0"/>
          <w:trHeight w:val="383" w:hRule="atLeast"/>
          <w:tblHeader w:val="0"/>
        </w:trPr>
        <w:tc>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w:t>
            </w:r>
          </w:p>
        </w:tc>
        <w:tc>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Thị Lan Hương</w:t>
            </w:r>
          </w:p>
        </w:tc>
        <w:tc>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16.640.000</w:t>
            </w:r>
            <w:r w:rsidDel="00000000" w:rsidR="00000000" w:rsidRPr="00000000">
              <w:rPr>
                <w:rtl w:val="0"/>
              </w:rPr>
            </w:r>
          </w:p>
        </w:tc>
      </w:tr>
      <w:tr>
        <w:trPr>
          <w:cantSplit w:val="0"/>
          <w:trHeight w:val="383" w:hRule="atLeast"/>
          <w:tblHeader w:val="0"/>
        </w:trPr>
        <w:tc>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w:t>
            </w:r>
          </w:p>
        </w:tc>
        <w:tc>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Thị Minh</w:t>
            </w:r>
          </w:p>
        </w:tc>
        <w:tc>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20.800.000</w:t>
            </w:r>
            <w:r w:rsidDel="00000000" w:rsidR="00000000" w:rsidRPr="00000000">
              <w:rPr>
                <w:rtl w:val="0"/>
              </w:rPr>
            </w:r>
          </w:p>
        </w:tc>
      </w:tr>
      <w:tr>
        <w:trPr>
          <w:cantSplit w:val="0"/>
          <w:trHeight w:val="383" w:hRule="atLeast"/>
          <w:tblHeader w:val="0"/>
        </w:trPr>
        <w:tc>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w:t>
            </w:r>
          </w:p>
        </w:tc>
        <w:tc>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Thị Như Thùy</w:t>
            </w:r>
          </w:p>
        </w:tc>
        <w:tc>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12.480.000</w:t>
            </w:r>
            <w:r w:rsidDel="00000000" w:rsidR="00000000" w:rsidRPr="00000000">
              <w:rPr>
                <w:rtl w:val="0"/>
              </w:rPr>
            </w:r>
          </w:p>
        </w:tc>
      </w:tr>
    </w:tbl>
    <w:p w:rsidR="00000000" w:rsidDel="00000000" w:rsidP="00000000" w:rsidRDefault="00000000" w:rsidRPr="00000000" w14:paraId="00000091">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0" w:before="0" w:line="288" w:lineRule="auto"/>
        <w:ind w:left="720" w:right="0" w:hanging="72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Thực hiện sửa đổi Điều lệ Công ty:</w:t>
      </w:r>
      <w:r w:rsidDel="00000000" w:rsidR="00000000" w:rsidRPr="00000000">
        <w:rPr>
          <w:rtl w:val="0"/>
        </w:rPr>
      </w:r>
    </w:p>
    <w:p w:rsidR="00000000" w:rsidDel="00000000" w:rsidP="00000000" w:rsidRDefault="00000000" w:rsidRPr="00000000" w14:paraId="00000092">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Căn cứ Nghị quyết số 01/NQ-ĐHĐCĐ được thông qua tại Đại hội đồng cổ đông thường niên năm 2024 ngày 28/03/2023. HĐQT đã chỉ đạo việc sửa đổi Điều lệ Công ty và ban hành đúng quy định. Chi tiết tại: Khoản 1, Điều 4, Mục III</w:t>
      </w:r>
    </w:p>
    <w:p w:rsidR="00000000" w:rsidDel="00000000" w:rsidP="00000000" w:rsidRDefault="00000000" w:rsidRPr="00000000" w14:paraId="00000093">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0" w:before="0" w:line="288" w:lineRule="auto"/>
        <w:ind w:left="720" w:right="0" w:hanging="72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Thực hiện lựa chọn đơn vị kiểm toán thực hiện kiểm toán Báo cáo tài chính năm 2024 của Công ty:</w:t>
      </w:r>
    </w:p>
    <w:p w:rsidR="00000000" w:rsidDel="00000000" w:rsidP="00000000" w:rsidRDefault="00000000" w:rsidRPr="00000000" w14:paraId="00000094">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Trong năm 2024, Công ty TNHH kiểm toán Nhân Tâm Việt tiếp tục là đơn vị thực hiện kiểm toán và soát xét các BCTC của Công ty. Các hoạt động kiểm toán và soát xét BCTC bán niên và BCTC năm được thực hiện đầy đủ, chuyên nghiệp, đảm bảo tuân thủ quy định pháp luật và phán ánh chính xác tình hình hoạt động của Công ty.</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567"/>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3. Các cuộc họp định kỳ của HĐQT năm 2024</w:t>
      </w:r>
    </w:p>
    <w:p w:rsidR="00000000" w:rsidDel="00000000" w:rsidP="00000000" w:rsidRDefault="00000000" w:rsidRPr="00000000" w14:paraId="00000096">
      <w:pPr>
        <w:widowControl w:val="0"/>
        <w:spacing w:line="288"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3.1. Công tác tổ chức và hoạt động của HĐQT</w:t>
      </w:r>
    </w:p>
    <w:p w:rsidR="00000000" w:rsidDel="00000000" w:rsidP="00000000" w:rsidRDefault="00000000" w:rsidRPr="00000000" w14:paraId="00000097">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Trong năm 2024, HĐQT đã tổ chức 09 cuộc họp và ban hành Nghị quyết theo đúng trình tự, thủ tục quy định pháp luật và Điều lệ Công ty và Luật doanh nghiệp.</w:t>
      </w:r>
    </w:p>
    <w:p w:rsidR="00000000" w:rsidDel="00000000" w:rsidP="00000000" w:rsidRDefault="00000000" w:rsidRPr="00000000" w14:paraId="00000098">
      <w:pPr>
        <w:widowControl w:val="0"/>
        <w:tabs>
          <w:tab w:val="left" w:leader="none" w:pos="567"/>
        </w:tabs>
        <w:spacing w:line="288"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3.2. Đánh giá kết quả hoạt động của các thành viên HĐQT</w:t>
      </w:r>
    </w:p>
    <w:p w:rsidR="00000000" w:rsidDel="00000000" w:rsidP="00000000" w:rsidRDefault="00000000" w:rsidRPr="00000000" w14:paraId="00000099">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Năm 2024 vừa qua, HĐQT đã tổ chức các cuộc họp theo đúng quy trình và điều lệ Công ty. Các cuộc họp đều mời Ban kiểm soát tham dự. Biên bản họp HĐQT được lập đầy đủ các nội dung và chữ ký theo quy định.</w:t>
      </w:r>
    </w:p>
    <w:p w:rsidR="00000000" w:rsidDel="00000000" w:rsidP="00000000" w:rsidRDefault="00000000" w:rsidRPr="00000000" w14:paraId="0000009A">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Các thành viên HĐQT đều hoàn thành tốt nhiệm vụ được phân công. Phát huy vai trò quản trị, điều hành nhằm nâng cao hiệu quả công việc và đạt được mục tiêu kế hoạch đề ra.</w:t>
      </w:r>
    </w:p>
    <w:p w:rsidR="00000000" w:rsidDel="00000000" w:rsidP="00000000" w:rsidRDefault="00000000" w:rsidRPr="00000000" w14:paraId="0000009B">
      <w:pPr>
        <w:widowControl w:val="0"/>
        <w:tabs>
          <w:tab w:val="left" w:leader="none" w:pos="567"/>
        </w:tabs>
        <w:spacing w:before="120" w:line="288"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3.3.  Hoạt động giám sát của HĐQT đối với Ban Tổng Giám đốc</w:t>
      </w:r>
    </w:p>
    <w:p w:rsidR="00000000" w:rsidDel="00000000" w:rsidP="00000000" w:rsidRDefault="00000000" w:rsidRPr="00000000" w14:paraId="0000009C">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Trong năm 2024, HĐQT đã phát huy tối đa năng lực điều hành linh hoạt, quyết đoán mang tính chất chiến lược lâu dài trong mọi hoạt động của Công ty. Luôn bám sát tình hính hoạt động kinh doanh của Ban tổng giám đốc (“Ban điều hành”), chủ động trong công tác quản trị điều hành, đưa ra các giải pháp kịp thời đảm bản an toàn hiệu quả.</w:t>
      </w:r>
    </w:p>
    <w:p w:rsidR="00000000" w:rsidDel="00000000" w:rsidP="00000000" w:rsidRDefault="00000000" w:rsidRPr="00000000" w14:paraId="0000009D">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Luôn luôn tìm hiểu nắm bắt và bám sát tình hình kinh tế thị trường, từ đó ban hành các Nghị quyết, Quyết nghị chỉ đạo và giám sát Ban Tổng giám đốc thực thi các phương án hoạt động kinh doanh, đầu tư, quản lý phù hợp với tình hình thực tế của Công ty,</w:t>
      </w:r>
    </w:p>
    <w:p w:rsidR="00000000" w:rsidDel="00000000" w:rsidP="00000000" w:rsidRDefault="00000000" w:rsidRPr="00000000" w14:paraId="0000009E">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Các thành viên Ban điều hành thường xuyên trao đổi, cập nhật thông tin; lập báo cáo kết quả kinh doanh định kỳ và phương hướng nhiệm vụ tiếp theo gửi HĐQT để có ý kiến chỉ đạo kịp thời cho hoạt động sản xuất kinh doanh của Công ty.</w:t>
      </w:r>
    </w:p>
    <w:p w:rsidR="00000000" w:rsidDel="00000000" w:rsidP="00000000" w:rsidRDefault="00000000" w:rsidRPr="00000000" w14:paraId="0000009F">
      <w:pPr>
        <w:widowControl w:val="0"/>
        <w:tabs>
          <w:tab w:val="left" w:leader="none" w:pos="567"/>
        </w:tabs>
        <w:spacing w:before="120" w:line="288" w:lineRule="auto"/>
        <w:ind w:left="567" w:firstLine="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4. Hoạt động công bố thông tin về các giao dịch với người liên quan</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Các giao dịch với người liên quan được thực hiện tuân thủ theo quy định của pháp luật và Điều lệ Công ty. </w:t>
      </w:r>
    </w:p>
    <w:p w:rsidR="00000000" w:rsidDel="00000000" w:rsidP="00000000" w:rsidRDefault="00000000" w:rsidRPr="00000000" w14:paraId="000000A1">
      <w:pPr>
        <w:widowControl w:val="0"/>
        <w:tabs>
          <w:tab w:val="left" w:leader="none" w:pos="1134"/>
        </w:tabs>
        <w:spacing w:after="120" w:before="120" w:line="300"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PHẦN II. PHƯƠNG HƯỚNG KẾ HOẠCH HOẠT ĐỘNG CỦA HĐQT NĂM 2025</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0" w:before="0" w:line="300" w:lineRule="auto"/>
        <w:ind w:left="567"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I. Kế hoạch hoạt động của HĐQT năm 2025</w:t>
      </w:r>
    </w:p>
    <w:p w:rsidR="00000000" w:rsidDel="00000000" w:rsidP="00000000" w:rsidRDefault="00000000" w:rsidRPr="00000000" w14:paraId="000000A3">
      <w:pPr>
        <w:tabs>
          <w:tab w:val="left" w:leader="none" w:pos="851"/>
        </w:tabs>
        <w:jc w:val="both"/>
        <w:rPr>
          <w:color w:val="081b3a"/>
          <w:sz w:val="26"/>
          <w:szCs w:val="26"/>
          <w:highlight w:val="white"/>
        </w:rPr>
      </w:pPr>
      <w:r w:rsidDel="00000000" w:rsidR="00000000" w:rsidRPr="00000000">
        <w:rPr>
          <w:rFonts w:ascii="Times New Roman" w:cs="Times New Roman" w:eastAsia="Times New Roman" w:hAnsi="Times New Roman"/>
          <w:sz w:val="26"/>
          <w:szCs w:val="26"/>
          <w:rtl w:val="0"/>
        </w:rPr>
        <w:t xml:space="preserve">Nhận định năm 2025 tình hình chính trị - kinh tế thế giới và Việt Nam còn nhiều khó khăn, ảnh hưởng không nhỏ đến hoạt động sản xuất kinh doanh của Công ty, nhất là thị trường bán lẻ hoạt động chính của Công ty, HĐQT đề xuất một số mục tiêu cơ bản và giải pháp thực hiện cho năm 2025 như sau: tập trung cho hoạt động bán lẻ, dịch vụ, củng cố giữ vững và phát huy vị thế uy tín trên thị trường. Triển khai thực hiện hoàn thiện công tác pháp lý cho dự án Tổ hợp tài chính thương mại và khách sạn Thái Hưng, </w:t>
      </w:r>
      <w:r w:rsidDel="00000000" w:rsidR="00000000" w:rsidRPr="00000000">
        <w:rPr>
          <w:rFonts w:ascii="Times New Roman" w:cs="Times New Roman" w:eastAsia="Times New Roman" w:hAnsi="Times New Roman"/>
          <w:color w:val="081b3a"/>
          <w:sz w:val="26"/>
          <w:szCs w:val="26"/>
          <w:highlight w:val="white"/>
          <w:rtl w:val="0"/>
        </w:rPr>
        <w:t xml:space="preserve">nhận chuyển nhượng một phần Dự án“Khu đô thị mới Thái Hưng Eco City (Tổ hợp thương mại, dịch vụ, trường học và nhà ở Gia Sàng)” của Công ty Cổ phần Thương mại Thái Hưng (mã số doanh nghiệp số 4600310787 do Phòng đăng ký kinh doanh – Sở Kế hoạch và Đầu tư tỉnh Thái Nguyên cấp lần đầu ngày 28/3/2003, thay đổi lần thứ 23 ngày 24/6/2024) liên quan đến “Trường Mầm non Iris” và “Trường Tiểu học, Trung học cơ sở, Trung học phổ thông Iris” (sau đây gọi tắt là “Trường Iris”).</w:t>
      </w:r>
      <w:r w:rsidDel="00000000" w:rsidR="00000000" w:rsidRPr="00000000">
        <w:rPr>
          <w:rtl w:val="0"/>
        </w:rPr>
      </w:r>
    </w:p>
    <w:p w:rsidR="00000000" w:rsidDel="00000000" w:rsidP="00000000" w:rsidRDefault="00000000" w:rsidRPr="00000000" w14:paraId="000000A4">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5">
      <w:pPr>
        <w:widowControl w:val="0"/>
        <w:spacing w:after="0" w:line="300" w:lineRule="auto"/>
        <w:ind w:firstLine="567"/>
        <w:jc w:val="both"/>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Cụ thể, các mục tiêu cơ bản cần đạt được:</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120" w:before="120" w:line="300" w:lineRule="auto"/>
        <w:ind w:left="567"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 Một số chỉ tiêu hoạt động kinh doanh chính năm 2025</w:t>
      </w:r>
      <w:r w:rsidDel="00000000" w:rsidR="00000000" w:rsidRPr="00000000">
        <w:rPr>
          <w:rtl w:val="0"/>
        </w:rPr>
      </w:r>
    </w:p>
    <w:p w:rsidR="00000000" w:rsidDel="00000000" w:rsidP="00000000" w:rsidRDefault="00000000" w:rsidRPr="00000000" w14:paraId="000000A7">
      <w:pPr>
        <w:widowControl w:val="0"/>
        <w:tabs>
          <w:tab w:val="left" w:leader="none" w:pos="567"/>
        </w:tabs>
        <w:spacing w:after="0" w:line="30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ab/>
        <w:t xml:space="preserve">Căn cứ vào nguồn lực hiện có, Hội đồng Quản trị trình Đại hội đồng Cổ đông thông qua kế hoạch sản xuất kinh doanh năm 2025 với các chỉ tiêu dự kiến như sau:</w:t>
      </w:r>
    </w:p>
    <w:p w:rsidR="00000000" w:rsidDel="00000000" w:rsidP="00000000" w:rsidRDefault="00000000" w:rsidRPr="00000000" w14:paraId="000000A8">
      <w:pPr>
        <w:widowControl w:val="0"/>
        <w:tabs>
          <w:tab w:val="left" w:leader="none" w:pos="567"/>
        </w:tabs>
        <w:spacing w:after="0" w:line="300" w:lineRule="auto"/>
        <w:jc w:val="both"/>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sz w:val="26"/>
          <w:szCs w:val="26"/>
          <w:rtl w:val="0"/>
        </w:rPr>
        <w:tab/>
        <w:tab/>
        <w:tab/>
        <w:tab/>
        <w:tab/>
        <w:tab/>
        <w:tab/>
        <w:tab/>
        <w:tab/>
        <w:tab/>
        <w:tab/>
        <w:t xml:space="preserve">     </w:t>
      </w:r>
      <w:r w:rsidDel="00000000" w:rsidR="00000000" w:rsidRPr="00000000">
        <w:rPr>
          <w:rFonts w:ascii="Times New Roman" w:cs="Times New Roman" w:eastAsia="Times New Roman" w:hAnsi="Times New Roman"/>
          <w:i w:val="1"/>
          <w:sz w:val="26"/>
          <w:szCs w:val="26"/>
          <w:rtl w:val="0"/>
        </w:rPr>
        <w:t xml:space="preserve">Đơn vị: đồng</w:t>
      </w:r>
    </w:p>
    <w:tbl>
      <w:tblPr>
        <w:tblStyle w:val="Table6"/>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2410"/>
        <w:gridCol w:w="1412"/>
        <w:tblGridChange w:id="0">
          <w:tblGrid>
            <w:gridCol w:w="2689"/>
            <w:gridCol w:w="2551"/>
            <w:gridCol w:w="2410"/>
            <w:gridCol w:w="1412"/>
          </w:tblGrid>
        </w:tblGridChange>
      </w:tblGrid>
      <w:tr>
        <w:trPr>
          <w:cantSplit w:val="0"/>
          <w:tblHeader w:val="0"/>
        </w:trPr>
        <w:tc>
          <w:tcPr/>
          <w:p w:rsidR="00000000" w:rsidDel="00000000" w:rsidP="00000000" w:rsidRDefault="00000000" w:rsidRPr="00000000" w14:paraId="000000A9">
            <w:pPr>
              <w:widowControl w:val="0"/>
              <w:tabs>
                <w:tab w:val="left" w:leader="none" w:pos="567"/>
              </w:tabs>
              <w:spacing w:line="300"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Chỉ tiêu</w:t>
            </w:r>
          </w:p>
        </w:tc>
        <w:tc>
          <w:tcPr/>
          <w:p w:rsidR="00000000" w:rsidDel="00000000" w:rsidP="00000000" w:rsidRDefault="00000000" w:rsidRPr="00000000" w14:paraId="000000AA">
            <w:pPr>
              <w:widowControl w:val="0"/>
              <w:tabs>
                <w:tab w:val="left" w:leader="none" w:pos="567"/>
              </w:tabs>
              <w:spacing w:line="300"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Thực hiện 2024</w:t>
            </w:r>
          </w:p>
        </w:tc>
        <w:tc>
          <w:tcPr/>
          <w:p w:rsidR="00000000" w:rsidDel="00000000" w:rsidP="00000000" w:rsidRDefault="00000000" w:rsidRPr="00000000" w14:paraId="000000AB">
            <w:pPr>
              <w:widowControl w:val="0"/>
              <w:tabs>
                <w:tab w:val="left" w:leader="none" w:pos="567"/>
              </w:tabs>
              <w:spacing w:line="300"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Kế hoạch 2025</w:t>
            </w:r>
          </w:p>
        </w:tc>
        <w:tc>
          <w:tcPr/>
          <w:p w:rsidR="00000000" w:rsidDel="00000000" w:rsidP="00000000" w:rsidRDefault="00000000" w:rsidRPr="00000000" w14:paraId="000000AC">
            <w:pPr>
              <w:widowControl w:val="0"/>
              <w:tabs>
                <w:tab w:val="left" w:leader="none" w:pos="567"/>
              </w:tabs>
              <w:spacing w:line="300"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Tỷ lệ (+/-)</w:t>
            </w:r>
          </w:p>
        </w:tc>
      </w:tr>
      <w:tr>
        <w:trPr>
          <w:cantSplit w:val="0"/>
          <w:tblHeader w:val="0"/>
        </w:trPr>
        <w:tc>
          <w:tcPr/>
          <w:p w:rsidR="00000000" w:rsidDel="00000000" w:rsidP="00000000" w:rsidRDefault="00000000" w:rsidRPr="00000000" w14:paraId="000000AD">
            <w:pPr>
              <w:widowControl w:val="0"/>
              <w:tabs>
                <w:tab w:val="left" w:leader="none" w:pos="567"/>
              </w:tabs>
              <w:spacing w:line="30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Doanh thu thuần</w:t>
            </w:r>
          </w:p>
        </w:tc>
        <w:tc>
          <w:tcPr>
            <w:vAlign w:val="center"/>
          </w:tcPr>
          <w:p w:rsidR="00000000" w:rsidDel="00000000" w:rsidP="00000000" w:rsidRDefault="00000000" w:rsidRPr="00000000" w14:paraId="000000AE">
            <w:pPr>
              <w:widowControl w:val="0"/>
              <w:tabs>
                <w:tab w:val="left" w:leader="none" w:pos="567"/>
              </w:tabs>
              <w:spacing w:line="300"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27.334.111.010</w:t>
            </w:r>
          </w:p>
        </w:tc>
        <w:tc>
          <w:tcPr/>
          <w:p w:rsidR="00000000" w:rsidDel="00000000" w:rsidP="00000000" w:rsidRDefault="00000000" w:rsidRPr="00000000" w14:paraId="000000AF">
            <w:pPr>
              <w:widowControl w:val="0"/>
              <w:tabs>
                <w:tab w:val="left" w:leader="none" w:pos="567"/>
              </w:tabs>
              <w:spacing w:line="300"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35.000.000.000</w:t>
            </w:r>
          </w:p>
        </w:tc>
        <w:tc>
          <w:tcPr/>
          <w:p w:rsidR="00000000" w:rsidDel="00000000" w:rsidP="00000000" w:rsidRDefault="00000000" w:rsidRPr="00000000" w14:paraId="000000B0">
            <w:pPr>
              <w:widowControl w:val="0"/>
              <w:tabs>
                <w:tab w:val="left" w:leader="none" w:pos="567"/>
              </w:tabs>
              <w:spacing w:line="30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28,05%</w:t>
            </w:r>
          </w:p>
        </w:tc>
      </w:tr>
      <w:tr>
        <w:trPr>
          <w:cantSplit w:val="0"/>
          <w:tblHeader w:val="0"/>
        </w:trPr>
        <w:tc>
          <w:tcPr/>
          <w:p w:rsidR="00000000" w:rsidDel="00000000" w:rsidP="00000000" w:rsidRDefault="00000000" w:rsidRPr="00000000" w14:paraId="000000B1">
            <w:pPr>
              <w:widowControl w:val="0"/>
              <w:tabs>
                <w:tab w:val="left" w:leader="none" w:pos="567"/>
              </w:tabs>
              <w:spacing w:line="30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Lợi nhuận trước thuế</w:t>
            </w:r>
          </w:p>
        </w:tc>
        <w:tc>
          <w:tcPr>
            <w:vAlign w:val="center"/>
          </w:tcPr>
          <w:p w:rsidR="00000000" w:rsidDel="00000000" w:rsidP="00000000" w:rsidRDefault="00000000" w:rsidRPr="00000000" w14:paraId="000000B2">
            <w:pPr>
              <w:widowControl w:val="0"/>
              <w:tabs>
                <w:tab w:val="left" w:leader="none" w:pos="567"/>
              </w:tabs>
              <w:spacing w:line="300"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1.279.870.211</w:t>
            </w:r>
          </w:p>
        </w:tc>
        <w:tc>
          <w:tcPr/>
          <w:p w:rsidR="00000000" w:rsidDel="00000000" w:rsidP="00000000" w:rsidRDefault="00000000" w:rsidRPr="00000000" w14:paraId="000000B3">
            <w:pPr>
              <w:widowControl w:val="0"/>
              <w:tabs>
                <w:tab w:val="left" w:leader="none" w:pos="567"/>
              </w:tabs>
              <w:spacing w:line="300"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1.600.000.000</w:t>
            </w:r>
          </w:p>
        </w:tc>
        <w:tc>
          <w:tcPr/>
          <w:p w:rsidR="00000000" w:rsidDel="00000000" w:rsidP="00000000" w:rsidRDefault="00000000" w:rsidRPr="00000000" w14:paraId="000000B4">
            <w:pPr>
              <w:widowControl w:val="0"/>
              <w:tabs>
                <w:tab w:val="left" w:leader="none" w:pos="567"/>
              </w:tabs>
              <w:spacing w:line="30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25,01%</w:t>
            </w:r>
          </w:p>
        </w:tc>
      </w:tr>
      <w:tr>
        <w:trPr>
          <w:cantSplit w:val="0"/>
          <w:tblHeader w:val="0"/>
        </w:trPr>
        <w:tc>
          <w:tcPr/>
          <w:p w:rsidR="00000000" w:rsidDel="00000000" w:rsidP="00000000" w:rsidRDefault="00000000" w:rsidRPr="00000000" w14:paraId="000000B5">
            <w:pPr>
              <w:widowControl w:val="0"/>
              <w:tabs>
                <w:tab w:val="left" w:leader="none" w:pos="567"/>
              </w:tabs>
              <w:spacing w:line="30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Lợi nhuận sau thuế</w:t>
            </w:r>
          </w:p>
        </w:tc>
        <w:tc>
          <w:tcPr>
            <w:vAlign w:val="center"/>
          </w:tcPr>
          <w:p w:rsidR="00000000" w:rsidDel="00000000" w:rsidP="00000000" w:rsidRDefault="00000000" w:rsidRPr="00000000" w14:paraId="000000B6">
            <w:pPr>
              <w:widowControl w:val="0"/>
              <w:tabs>
                <w:tab w:val="left" w:leader="none" w:pos="567"/>
              </w:tabs>
              <w:spacing w:line="300"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1.279.870.211</w:t>
            </w:r>
          </w:p>
        </w:tc>
        <w:tc>
          <w:tcPr/>
          <w:p w:rsidR="00000000" w:rsidDel="00000000" w:rsidP="00000000" w:rsidRDefault="00000000" w:rsidRPr="00000000" w14:paraId="000000B7">
            <w:pPr>
              <w:widowControl w:val="0"/>
              <w:tabs>
                <w:tab w:val="left" w:leader="none" w:pos="567"/>
              </w:tabs>
              <w:spacing w:line="300"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1.280.000.000</w:t>
            </w:r>
          </w:p>
        </w:tc>
        <w:tc>
          <w:tcPr/>
          <w:p w:rsidR="00000000" w:rsidDel="00000000" w:rsidP="00000000" w:rsidRDefault="00000000" w:rsidRPr="00000000" w14:paraId="000000B8">
            <w:pPr>
              <w:widowControl w:val="0"/>
              <w:tabs>
                <w:tab w:val="left" w:leader="none" w:pos="567"/>
              </w:tabs>
              <w:spacing w:line="30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0,01%</w:t>
            </w:r>
          </w:p>
        </w:tc>
      </w:tr>
    </w:tbl>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120" w:before="120" w:line="300"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Tại Đại hội thường niên năm 2025, HĐQT trình ĐHĐCĐ thông qua kế hoạch không chia cổ tức năm 2024, toàn bộ lợi nhuận sau thuế chưa phân phối sau khi trích quỹ sẽ được dùng cho hoạt động sản xuất kinh doanh, đồng thời tập trung bảo toàn và phát triển ổn định vốn chủ sở hữu.</w:t>
      </w:r>
    </w:p>
    <w:p w:rsidR="00000000" w:rsidDel="00000000" w:rsidP="00000000" w:rsidRDefault="00000000" w:rsidRPr="00000000" w14:paraId="000000BA">
      <w:pPr>
        <w:widowControl w:val="0"/>
        <w:tabs>
          <w:tab w:val="left" w:leader="none" w:pos="567"/>
        </w:tabs>
        <w:spacing w:after="120" w:before="120" w:line="300" w:lineRule="auto"/>
        <w:ind w:left="567" w:firstLine="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Công tác đầu tư</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120" w:before="120" w:line="300"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Đối với các dự án đang tiến hành: </w:t>
      </w:r>
    </w:p>
    <w:p w:rsidR="00000000" w:rsidDel="00000000" w:rsidP="00000000" w:rsidRDefault="00000000" w:rsidRPr="00000000" w14:paraId="000000BC">
      <w:pPr>
        <w:widowControl w:val="0"/>
        <w:tabs>
          <w:tab w:val="left" w:leader="none" w:pos="567"/>
        </w:tabs>
        <w:spacing w:after="120" w:before="120" w:line="300"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Dự án đầu tư xây dựng trụ sở chính, Tổ hợp tài chính, Thương mại, Dịch vụ và khách sạn Thái Hưng (Thai Hung Complex Tower): Tiếp tục bám sát diễn biến thị trường, tình hình thực tế của dự án. HĐQT lựa chọn phương án, cách thức triển khai cụ thể và đảm bảo các tiêu chí:  Đảm bảo tính pháp lý (sở hữu tài sản);  Trở thành nguồn tài nguyên khai thác, sử dụng;  Đầu tư, tìm kiếm cơ hội chuyển nhượng hợp tác kinh doanh… mang lại hiệu quả cho Công ty, tập trung nguồn vốn cho hoạt động sản xuất kinh doanh.</w:t>
      </w:r>
    </w:p>
    <w:p w:rsidR="00000000" w:rsidDel="00000000" w:rsidP="00000000" w:rsidRDefault="00000000" w:rsidRPr="00000000" w14:paraId="000000BD">
      <w:pPr>
        <w:widowControl w:val="0"/>
        <w:tabs>
          <w:tab w:val="left" w:leader="none" w:pos="567"/>
        </w:tabs>
        <w:spacing w:after="120" w:before="120" w:line="300"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Dự án “Khu đô thị mới Thái Hưng Eco City </w:t>
      </w:r>
      <w:r w:rsidDel="00000000" w:rsidR="00000000" w:rsidRPr="00000000">
        <w:rPr>
          <w:rFonts w:ascii="Times New Roman" w:cs="Times New Roman" w:eastAsia="Times New Roman" w:hAnsi="Times New Roman"/>
          <w:i w:val="1"/>
          <w:sz w:val="26"/>
          <w:szCs w:val="26"/>
          <w:rtl w:val="0"/>
        </w:rPr>
        <w:t xml:space="preserve">(Tổ hợp thương mại, dịch vụ, trường học và nhà ở Gia Sàng)</w:t>
      </w:r>
      <w:r w:rsidDel="00000000" w:rsidR="00000000" w:rsidRPr="00000000">
        <w:rPr>
          <w:rFonts w:ascii="Times New Roman" w:cs="Times New Roman" w:eastAsia="Times New Roman" w:hAnsi="Times New Roman"/>
          <w:sz w:val="26"/>
          <w:szCs w:val="26"/>
          <w:rtl w:val="0"/>
        </w:rPr>
        <w:t xml:space="preserve">” lên phương án nhận chuyển nhượng một phần Dự án liên quan đến “Trường Iris” từ  Công ty Cổ phần Thương mại Thái Hưng.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0" w:before="120" w:line="300"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Các hoạt động đầu tư khác: Công ty tiếp tục khai thác phát huy tối đa và vận dụng linh hoạt nguồn lực hiện có đảm bảo an toàn phát triển vốn, mang lại hiệu quả kinh doanh cho Công ty.</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0" w:before="0" w:line="300" w:lineRule="auto"/>
        <w:ind w:left="0" w:right="0" w:firstLine="567"/>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II. Một số giải pháp thực hiện</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0" w:before="0" w:line="300"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Phát huy tối đa quyền và trách nhiệm của HĐQT trong phạm vi quy định, đảm bảo thực hiện mục tiêu của Đại hội đồng cổ đông và quyền lợi của cổ đông:</w:t>
      </w:r>
    </w:p>
    <w:p w:rsidR="00000000" w:rsidDel="00000000" w:rsidP="00000000" w:rsidRDefault="00000000" w:rsidRPr="00000000" w14:paraId="000000C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00" w:lineRule="auto"/>
        <w:ind w:left="426" w:right="0" w:hanging="426"/>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Hoạch định phương hướng hoạt động sản xuất kinh doanh của Công ty, đặt mục tiêu trọng tâm là kinh doanh và nâng cao hiệu quả sử dụng vốn, giảm bớt hoặc loại bỏ các mảng kinh doanh kém hiệu quả; nâng cao năng lực cạnh tranh đáp ứng cơ hội phát triển. Tăng cường chỉ đạo, giám sát chặt chẽ công tác đầu tư, công nợ, chi phí hoạt động sản xuất kinh doanh chống lãng phí</w:t>
      </w:r>
    </w:p>
    <w:p w:rsidR="00000000" w:rsidDel="00000000" w:rsidP="00000000" w:rsidRDefault="00000000" w:rsidRPr="00000000" w14:paraId="000000C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00" w:lineRule="auto"/>
        <w:ind w:left="426" w:right="0" w:hanging="426"/>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Duy trì và phát triển các mối quan hệ với đối tác, khách hàng và tổ chức tín dụng. Đa dạng nguồn huy động vốn, đáp ứng kịp thời vốn cho hoạt động sản xuất kinh doanh và đầu tư của Công ty.</w:t>
      </w:r>
    </w:p>
    <w:p w:rsidR="00000000" w:rsidDel="00000000" w:rsidP="00000000" w:rsidRDefault="00000000" w:rsidRPr="00000000" w14:paraId="000000C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64" w:lineRule="auto"/>
        <w:ind w:left="426" w:right="0" w:hanging="426"/>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Tiếp tục việc kiện toàn, sắp xếp lại hoạt động kinh doanh của Công ty, đồng thời không ngừng tìm kiếm những cơ hội đầu tư mới nhằm ổn định và phát triển bền vững cho Công ty.   </w:t>
      </w:r>
    </w:p>
    <w:p w:rsidR="00000000" w:rsidDel="00000000" w:rsidP="00000000" w:rsidRDefault="00000000" w:rsidRPr="00000000" w14:paraId="000000C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64" w:lineRule="auto"/>
        <w:ind w:left="426" w:right="0" w:hanging="426"/>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Tiếp tục tái cơ cấu nguồn nhân lực của Công ty, thúc đẩy đầu tư vào con người, công nghệ, chuyển đổi số toàn diện, tranh thủ thích ứng tối đa với tri thức công nghệ ngày càng phát triển trên thế giới. Tuyển dụng các nhân sự cao cấp, chuyên sâu về nghiệp vụ, tăng cường công tác đào tạo nội bộ. </w:t>
      </w:r>
    </w:p>
    <w:p w:rsidR="00000000" w:rsidDel="00000000" w:rsidP="00000000" w:rsidRDefault="00000000" w:rsidRPr="00000000" w14:paraId="000000C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64" w:lineRule="auto"/>
        <w:ind w:left="426" w:right="0" w:hanging="426"/>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Tăng cường hơn nữa hoạt động giám sát, kiểm tra của HĐQT theo thẩm quyền tới các vấn đề trong Công ty, cụ thể trên từng lĩnh vực, ngành nghề kinh doanh. Tiếp tục tạo điều kiện cho Ban Kiểm soát thực hiện hoạt động kiểm tra, giám sát, dựa trên nguyên tắc “phòng hơn chữa”, loại bỏ mọi rủi ro ngay từ khi còn tiềm ẩn.</w:t>
      </w:r>
    </w:p>
    <w:p w:rsidR="00000000" w:rsidDel="00000000" w:rsidP="00000000" w:rsidRDefault="00000000" w:rsidRPr="00000000" w14:paraId="000000C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64" w:lineRule="auto"/>
        <w:ind w:left="426" w:right="0" w:hanging="426"/>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Không ngừng xây dựng văn hoá doanh nghiệp, chuẩn hoá môi trường làm việc, thúc đẩy tính sáng tạo, chủ động quyết liệt trong công việc.  Quan tâm, chia sẻ và bảo vệ quyền lợi hợp pháp tối đa của các cổ đông cũng như quan tâm đến thu nhập, quyền lợi và điều kiện làm việc của toàn thể CBCNV trong Công ty.</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 w:lineRule="auto"/>
        <w:ind w:left="426"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C8">
      <w:pPr>
        <w:widowControl w:val="0"/>
        <w:spacing w:after="240" w:lineRule="auto"/>
        <w:ind w:firstLine="567"/>
        <w:jc w:val="both"/>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Trên đây là báo cáo của HĐQT Công ty năm 2024, và phương hướng hoạt động </w:t>
      </w:r>
      <w:r w:rsidDel="00000000" w:rsidR="00000000" w:rsidRPr="00000000">
        <w:rPr>
          <w:rFonts w:ascii="Times New Roman" w:cs="Times New Roman" w:eastAsia="Times New Roman" w:hAnsi="Times New Roman"/>
          <w:b w:val="1"/>
          <w:sz w:val="26"/>
          <w:szCs w:val="26"/>
          <w:rtl w:val="0"/>
        </w:rPr>
        <w:t xml:space="preserve">năm 2025</w:t>
      </w:r>
      <w:r w:rsidDel="00000000" w:rsidR="00000000" w:rsidRPr="00000000">
        <w:rPr>
          <w:rFonts w:ascii="Times New Roman" w:cs="Times New Roman" w:eastAsia="Times New Roman" w:hAnsi="Times New Roman"/>
          <w:b w:val="1"/>
          <w:color w:val="000000"/>
          <w:sz w:val="26"/>
          <w:szCs w:val="26"/>
          <w:rtl w:val="0"/>
        </w:rPr>
        <w:t xml:space="preserve">, kính trình Đại hội đồng cổ đông thông qua./.</w:t>
      </w:r>
    </w:p>
    <w:tbl>
      <w:tblPr>
        <w:tblStyle w:val="Table7"/>
        <w:tblW w:w="907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18"/>
        <w:gridCol w:w="4554"/>
        <w:tblGridChange w:id="0">
          <w:tblGrid>
            <w:gridCol w:w="4518"/>
            <w:gridCol w:w="4554"/>
          </w:tblGrid>
        </w:tblGridChange>
      </w:tblGrid>
      <w:tr>
        <w:trPr>
          <w:cantSplit w:val="0"/>
          <w:tblHeader w:val="0"/>
        </w:trPr>
        <w:tc>
          <w:tcPr/>
          <w:p w:rsidR="00000000" w:rsidDel="00000000" w:rsidP="00000000" w:rsidRDefault="00000000" w:rsidRPr="00000000" w14:paraId="000000C9">
            <w:pPr>
              <w:spacing w:line="312" w:lineRule="auto"/>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Nơi nhận:</w:t>
            </w:r>
          </w:p>
          <w:p w:rsidR="00000000" w:rsidDel="00000000" w:rsidP="00000000" w:rsidRDefault="00000000" w:rsidRPr="00000000" w14:paraId="000000CA">
            <w:pPr>
              <w:spacing w:line="264"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ĐHĐCĐ;</w:t>
            </w:r>
          </w:p>
          <w:p w:rsidR="00000000" w:rsidDel="00000000" w:rsidP="00000000" w:rsidRDefault="00000000" w:rsidRPr="00000000" w14:paraId="000000CB">
            <w:pPr>
              <w:spacing w:line="264"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BKS;</w:t>
            </w:r>
          </w:p>
          <w:p w:rsidR="00000000" w:rsidDel="00000000" w:rsidP="00000000" w:rsidRDefault="00000000" w:rsidRPr="00000000" w14:paraId="000000CC">
            <w:pPr>
              <w:widowControl w:val="0"/>
              <w:spacing w:line="264"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Lưu: VT.</w:t>
            </w:r>
          </w:p>
          <w:p w:rsidR="00000000" w:rsidDel="00000000" w:rsidP="00000000" w:rsidRDefault="00000000" w:rsidRPr="00000000" w14:paraId="000000CD">
            <w:pPr>
              <w:widowControl w:val="0"/>
              <w:spacing w:line="288" w:lineRule="auto"/>
              <w:ind w:firstLine="567"/>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CE">
            <w:pPr>
              <w:widowControl w:val="0"/>
              <w:spacing w:line="288" w:lineRule="auto"/>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0CF">
            <w:pPr>
              <w:widowControl w:val="0"/>
              <w:spacing w:line="288" w:lineRule="auto"/>
              <w:ind w:firstLine="567"/>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TM. HỘI ĐỒNG QUẢN TRỊ</w:t>
            </w:r>
          </w:p>
          <w:p w:rsidR="00000000" w:rsidDel="00000000" w:rsidP="00000000" w:rsidRDefault="00000000" w:rsidRPr="00000000" w14:paraId="000000D0">
            <w:pPr>
              <w:widowControl w:val="0"/>
              <w:spacing w:line="288" w:lineRule="auto"/>
              <w:ind w:firstLine="567"/>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CHỦ TỊCH</w:t>
            </w:r>
          </w:p>
          <w:p w:rsidR="00000000" w:rsidDel="00000000" w:rsidP="00000000" w:rsidRDefault="00000000" w:rsidRPr="00000000" w14:paraId="000000D1">
            <w:pPr>
              <w:widowControl w:val="0"/>
              <w:spacing w:line="288" w:lineRule="auto"/>
              <w:ind w:firstLine="567"/>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D2">
            <w:pPr>
              <w:widowControl w:val="0"/>
              <w:spacing w:line="288" w:lineRule="auto"/>
              <w:ind w:firstLine="567"/>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D3">
            <w:pPr>
              <w:widowControl w:val="0"/>
              <w:spacing w:line="288" w:lineRule="auto"/>
              <w:ind w:firstLine="567"/>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D4">
            <w:pPr>
              <w:widowControl w:val="0"/>
              <w:spacing w:line="288" w:lineRule="auto"/>
              <w:ind w:firstLine="567"/>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D5">
            <w:pPr>
              <w:widowControl w:val="0"/>
              <w:spacing w:line="288" w:lineRule="auto"/>
              <w:ind w:firstLine="567"/>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D6">
            <w:pPr>
              <w:widowControl w:val="0"/>
              <w:spacing w:line="288" w:lineRule="auto"/>
              <w:ind w:firstLine="567"/>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Nguyễn Nam Tiến</w:t>
            </w:r>
          </w:p>
        </w:tc>
      </w:tr>
    </w:tbl>
    <w:p w:rsidR="00000000" w:rsidDel="00000000" w:rsidP="00000000" w:rsidRDefault="00000000" w:rsidRPr="00000000" w14:paraId="000000D7">
      <w:pPr>
        <w:widowControl w:val="0"/>
        <w:tabs>
          <w:tab w:val="left" w:leader="none" w:pos="6105"/>
        </w:tabs>
        <w:spacing w:after="60" w:before="6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8">
      <w:pPr>
        <w:rPr>
          <w:rFonts w:ascii="Times New Roman" w:cs="Times New Roman" w:eastAsia="Times New Roman" w:hAnsi="Times New Roman"/>
          <w:sz w:val="28"/>
          <w:szCs w:val="28"/>
        </w:rPr>
      </w:pPr>
      <w:r w:rsidDel="00000000" w:rsidR="00000000" w:rsidRPr="00000000">
        <w:br w:type="page"/>
      </w:r>
      <w:r w:rsidDel="00000000" w:rsidR="00000000" w:rsidRPr="00000000">
        <w:rPr>
          <w:rtl w:val="0"/>
        </w:rPr>
      </w:r>
    </w:p>
    <w:tbl>
      <w:tblPr>
        <w:tblStyle w:val="Table8"/>
        <w:tblW w:w="10228.0" w:type="dxa"/>
        <w:jc w:val="center"/>
        <w:tblLayout w:type="fixed"/>
        <w:tblLook w:val="0000"/>
      </w:tblPr>
      <w:tblGrid>
        <w:gridCol w:w="4537"/>
        <w:gridCol w:w="5691"/>
        <w:tblGridChange w:id="0">
          <w:tblGrid>
            <w:gridCol w:w="4537"/>
            <w:gridCol w:w="5691"/>
          </w:tblGrid>
        </w:tblGridChange>
      </w:tblGrid>
      <w:tr>
        <w:trPr>
          <w:cantSplit w:val="0"/>
          <w:tblHeader w:val="0"/>
        </w:trPr>
        <w:tc>
          <w:tcPr/>
          <w:p w:rsidR="00000000" w:rsidDel="00000000" w:rsidP="00000000" w:rsidRDefault="00000000" w:rsidRPr="00000000" w14:paraId="000000D9">
            <w:pPr>
              <w:widowControl w:val="0"/>
              <w:spacing w:after="0" w:line="24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THAI NGUYEN BOOK PUBLISHING JOINT STOCK COMPANY</w:t>
            </w:r>
          </w:p>
          <w:p w:rsidR="00000000" w:rsidDel="00000000" w:rsidP="00000000" w:rsidRDefault="00000000" w:rsidRPr="00000000" w14:paraId="000000DA">
            <w:pPr>
              <w:widowControl w:val="0"/>
              <w:tabs>
                <w:tab w:val="left" w:leader="none" w:pos="4680"/>
              </w:tabs>
              <w:spacing w:after="0" w:before="24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No: 01/2025/STH/BC-HĐQT</w: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698500</wp:posOffset>
                      </wp:positionH>
                      <wp:positionV relativeFrom="paragraph">
                        <wp:posOffset>30496</wp:posOffset>
                      </wp:positionV>
                      <wp:extent cx="1321435" cy="12700"/>
                      <wp:effectExtent b="0" l="0" r="0" t="0"/>
                      <wp:wrapNone/>
                      <wp:docPr id="1"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698500</wp:posOffset>
                      </wp:positionH>
                      <wp:positionV relativeFrom="paragraph">
                        <wp:posOffset>30496</wp:posOffset>
                      </wp:positionV>
                      <wp:extent cx="132143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tc>
        <w:tc>
          <w:tcPr/>
          <w:p w:rsidR="00000000" w:rsidDel="00000000" w:rsidP="00000000" w:rsidRDefault="00000000" w:rsidRPr="00000000" w14:paraId="000000DB">
            <w:pPr>
              <w:widowControl w:val="0"/>
              <w:tabs>
                <w:tab w:val="left" w:leader="none" w:pos="4680"/>
              </w:tabs>
              <w:spacing w:after="0" w:line="240" w:lineRule="auto"/>
              <w:ind w:left="-87"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SOCIALIST REPUBLIC OF VIETNAM</w:t>
            </w:r>
          </w:p>
          <w:p w:rsidR="00000000" w:rsidDel="00000000" w:rsidP="00000000" w:rsidRDefault="00000000" w:rsidRPr="00000000" w14:paraId="000000DC">
            <w:pPr>
              <w:widowControl w:val="0"/>
              <w:tabs>
                <w:tab w:val="left" w:leader="none" w:pos="4680"/>
              </w:tabs>
              <w:spacing w:after="0" w:line="240" w:lineRule="auto"/>
              <w:ind w:left="-87"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Independence – Freedom – Happiness</w:t>
            </w:r>
          </w:p>
          <w:p w:rsidR="00000000" w:rsidDel="00000000" w:rsidP="00000000" w:rsidRDefault="00000000" w:rsidRPr="00000000" w14:paraId="000000DD">
            <w:pPr>
              <w:widowControl w:val="0"/>
              <w:tabs>
                <w:tab w:val="left" w:leader="none" w:pos="4737"/>
              </w:tabs>
              <w:spacing w:after="0" w:before="240" w:line="240" w:lineRule="auto"/>
              <w:ind w:left="198" w:right="176" w:firstLine="0"/>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i w:val="1"/>
                <w:sz w:val="26"/>
                <w:szCs w:val="26"/>
                <w:rtl w:val="0"/>
              </w:rPr>
              <w:t xml:space="preserve">Thai Nguyen, April 15,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30496</wp:posOffset>
                      </wp:positionV>
                      <wp:extent cx="2085975" cy="12700"/>
                      <wp:effectExtent b="0" l="0" r="0" t="0"/>
                      <wp:wrapNone/>
                      <wp:docPr id="6"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30496</wp:posOffset>
                      </wp:positionV>
                      <wp:extent cx="2085975"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DE">
      <w:pPr>
        <w:widowControl w:val="0"/>
        <w:spacing w:after="0" w:before="36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REPORT TO THE 2025 ANNUAL GENERAL MEETING OF SHAREHOLDERS</w:t>
      </w:r>
    </w:p>
    <w:p w:rsidR="00000000" w:rsidDel="00000000" w:rsidP="00000000" w:rsidRDefault="00000000" w:rsidRPr="00000000" w14:paraId="000000DF">
      <w:pPr>
        <w:widowControl w:val="0"/>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On the Activities of the Board of Directors in 2024 and the Operational Directions for 2025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2159000</wp:posOffset>
                </wp:positionH>
                <wp:positionV relativeFrom="paragraph">
                  <wp:posOffset>419100</wp:posOffset>
                </wp:positionV>
                <wp:extent cx="1441938" cy="12700"/>
                <wp:effectExtent b="0" l="0" r="0" t="0"/>
                <wp:wrapNone/>
                <wp:docPr id="4" name=""/>
                <a:graphic>
                  <a:graphicData uri="http://schemas.microsoft.com/office/word/2010/wordprocessingShape">
                    <wps:wsp>
                      <wps:cNvCnPr/>
                      <wps:spPr>
                        <a:xfrm>
                          <a:off x="4625031" y="3780000"/>
                          <a:ext cx="1441938"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2159000</wp:posOffset>
                </wp:positionH>
                <wp:positionV relativeFrom="paragraph">
                  <wp:posOffset>419100</wp:posOffset>
                </wp:positionV>
                <wp:extent cx="1441938"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441938" cy="12700"/>
                        </a:xfrm>
                        <a:prstGeom prst="rect"/>
                        <a:ln/>
                      </pic:spPr>
                    </pic:pic>
                  </a:graphicData>
                </a:graphic>
              </wp:anchor>
            </w:drawing>
          </mc:Fallback>
        </mc:AlternateContent>
      </w:r>
    </w:p>
    <w:p w:rsidR="00000000" w:rsidDel="00000000" w:rsidP="00000000" w:rsidRDefault="00000000" w:rsidRPr="00000000" w14:paraId="000000E0">
      <w:pPr>
        <w:widowControl w:val="0"/>
        <w:spacing w:after="0" w:before="360" w:line="312"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To: The Annual General Meeting of Shareholders.</w:t>
      </w:r>
    </w:p>
    <w:p w:rsidR="00000000" w:rsidDel="00000000" w:rsidP="00000000" w:rsidRDefault="00000000" w:rsidRPr="00000000" w14:paraId="000000E1">
      <w:pPr>
        <w:widowControl w:val="0"/>
        <w:spacing w:after="0" w:before="240" w:line="312" w:lineRule="auto"/>
        <w:ind w:firstLine="567"/>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The Board of Directors (BOD) hereby reports to the 2025 Annual General Meeting of Shareholders the results of operations in 2024 and outlines the operational directions for 2025 as follows:</w:t>
      </w:r>
      <w:r w:rsidDel="00000000" w:rsidR="00000000" w:rsidRPr="00000000">
        <w:rPr>
          <w:rtl w:val="0"/>
        </w:rPr>
      </w:r>
    </w:p>
    <w:p w:rsidR="00000000" w:rsidDel="00000000" w:rsidP="00000000" w:rsidRDefault="00000000" w:rsidRPr="00000000" w14:paraId="000000E2">
      <w:pPr>
        <w:widowControl w:val="0"/>
        <w:spacing w:after="0" w:before="120" w:line="312"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PART I. ACTIVITIES OF THE BOARD OF DIRECTORS IN 2024</w:t>
      </w:r>
    </w:p>
    <w:p w:rsidR="00000000" w:rsidDel="00000000" w:rsidP="00000000" w:rsidRDefault="00000000" w:rsidRPr="00000000" w14:paraId="000000E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88" w:lineRule="auto"/>
        <w:ind w:left="1287" w:right="0" w:hanging="720"/>
        <w:jc w:val="both"/>
        <w:rPr>
          <w:rFonts w:ascii="Times New Roman" w:cs="Times New Roman" w:eastAsia="Times New Roman" w:hAnsi="Times New Roman"/>
          <w:b w:val="1"/>
          <w:i w:val="0"/>
          <w:smallCaps w:val="0"/>
          <w:strike w:val="0"/>
          <w:color w:val="000000"/>
          <w:sz w:val="26"/>
          <w:szCs w:val="26"/>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white"/>
          <w:u w:val="none"/>
          <w:vertAlign w:val="baseline"/>
          <w:rtl w:val="0"/>
        </w:rPr>
        <w:t xml:space="preserve">General Context and Overview:</w:t>
      </w:r>
    </w:p>
    <w:p w:rsidR="00000000" w:rsidDel="00000000" w:rsidP="00000000" w:rsidRDefault="00000000" w:rsidRPr="00000000" w14:paraId="000000E4">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In 2024, the global goods market was significantly affected by complex developments in global politics, economics, and society. Conflicts escalated in the Russia–Ukraine region and the Middle East, and strategic competition among major powers intensified. Trade protectionism and barriers increased, further fragmenting the global economy.</w:t>
      </w:r>
    </w:p>
    <w:p w:rsidR="00000000" w:rsidDel="00000000" w:rsidP="00000000" w:rsidRDefault="00000000" w:rsidRPr="00000000" w14:paraId="000000E5">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Although Vietnam’s GDP in 2024 reached USD 476.3 billion with a growth rate exceeding 7%, ranking 33rd globally, the industry still faced considerable challenges, particularly due to the slow modernization process.</w:t>
      </w:r>
    </w:p>
    <w:p w:rsidR="00000000" w:rsidDel="00000000" w:rsidP="00000000" w:rsidRDefault="00000000" w:rsidRPr="00000000" w14:paraId="000000E6">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Amid such difficulties, the Company’s Board of Directors (BOD) promptly proposed appropriate strategies and solutions, enabling the entire organization to overcome challenges and achieve certain accomplishments in 2024, laying the foundation for sustainable development in 2025 and beyond.</w:t>
      </w:r>
    </w:p>
    <w:p w:rsidR="00000000" w:rsidDel="00000000" w:rsidP="00000000" w:rsidRDefault="00000000" w:rsidRPr="00000000" w14:paraId="000000E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1287" w:right="0" w:hanging="72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Personnel of the Board of Directors</w:t>
      </w:r>
    </w:p>
    <w:p w:rsidR="00000000" w:rsidDel="00000000" w:rsidP="00000000" w:rsidRDefault="00000000" w:rsidRPr="00000000" w14:paraId="000000E8">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927" w:right="0" w:hanging="36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Board of Directors' personnel work</w:t>
      </w:r>
    </w:p>
    <w:p w:rsidR="00000000" w:rsidDel="00000000" w:rsidP="00000000" w:rsidRDefault="00000000" w:rsidRPr="00000000" w14:paraId="000000E9">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As of December 31, 2024, the composition of the Board of Directors was as follows:</w:t>
      </w:r>
    </w:p>
    <w:tbl>
      <w:tblPr>
        <w:tblStyle w:val="Table9"/>
        <w:tblW w:w="90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46"/>
        <w:gridCol w:w="2543"/>
        <w:gridCol w:w="2410"/>
        <w:gridCol w:w="3373"/>
        <w:tblGridChange w:id="0">
          <w:tblGrid>
            <w:gridCol w:w="746"/>
            <w:gridCol w:w="2543"/>
            <w:gridCol w:w="2410"/>
            <w:gridCol w:w="3373"/>
          </w:tblGrid>
        </w:tblGridChange>
      </w:tblGrid>
      <w:tr>
        <w:trPr>
          <w:cantSplit w:val="0"/>
          <w:trHeight w:val="607" w:hRule="atLeast"/>
          <w:tblHeader w:val="0"/>
        </w:trPr>
        <w:tc>
          <w:tcPr>
            <w:vAlign w:val="center"/>
          </w:tcPr>
          <w:p w:rsidR="00000000" w:rsidDel="00000000" w:rsidP="00000000" w:rsidRDefault="00000000" w:rsidRPr="00000000" w14:paraId="000000EA">
            <w:pPr>
              <w:widowControl w:val="0"/>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No</w:t>
            </w:r>
          </w:p>
        </w:tc>
        <w:tc>
          <w:tcPr>
            <w:vAlign w:val="center"/>
          </w:tcPr>
          <w:p w:rsidR="00000000" w:rsidDel="00000000" w:rsidP="00000000" w:rsidRDefault="00000000" w:rsidRPr="00000000" w14:paraId="000000EB">
            <w:pPr>
              <w:widowControl w:val="0"/>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Full name</w:t>
            </w:r>
          </w:p>
        </w:tc>
        <w:tc>
          <w:tcPr>
            <w:vAlign w:val="center"/>
          </w:tcPr>
          <w:p w:rsidR="00000000" w:rsidDel="00000000" w:rsidP="00000000" w:rsidRDefault="00000000" w:rsidRPr="00000000" w14:paraId="000000EC">
            <w:pPr>
              <w:widowControl w:val="0"/>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Position on BOD</w:t>
            </w:r>
          </w:p>
        </w:tc>
        <w:tc>
          <w:tcPr>
            <w:vAlign w:val="center"/>
          </w:tcPr>
          <w:p w:rsidR="00000000" w:rsidDel="00000000" w:rsidP="00000000" w:rsidRDefault="00000000" w:rsidRPr="00000000" w14:paraId="000000ED">
            <w:pPr>
              <w:widowControl w:val="0"/>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Position in the Company</w:t>
            </w:r>
          </w:p>
        </w:tc>
      </w:tr>
      <w:tr>
        <w:trPr>
          <w:cantSplit w:val="0"/>
          <w:trHeight w:val="390" w:hRule="atLeast"/>
          <w:tblHeader w:val="0"/>
        </w:trPr>
        <w:tc>
          <w:tcPr>
            <w:vAlign w:val="center"/>
          </w:tcPr>
          <w:p w:rsidR="00000000" w:rsidDel="00000000" w:rsidP="00000000" w:rsidRDefault="00000000" w:rsidRPr="00000000" w14:paraId="000000EE">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vAlign w:val="center"/>
          </w:tcPr>
          <w:p w:rsidR="00000000" w:rsidDel="00000000" w:rsidP="00000000" w:rsidRDefault="00000000" w:rsidRPr="00000000" w14:paraId="000000EF">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Nguyễn Nam Tiến</w:t>
            </w:r>
          </w:p>
        </w:tc>
        <w:tc>
          <w:tcPr>
            <w:vAlign w:val="center"/>
          </w:tcPr>
          <w:p w:rsidR="00000000" w:rsidDel="00000000" w:rsidP="00000000" w:rsidRDefault="00000000" w:rsidRPr="00000000" w14:paraId="000000F0">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Chairman</w:t>
            </w:r>
            <w:r w:rsidDel="00000000" w:rsidR="00000000" w:rsidRPr="00000000">
              <w:rPr>
                <w:rtl w:val="0"/>
              </w:rPr>
            </w:r>
          </w:p>
        </w:tc>
        <w:tc>
          <w:tcPr>
            <w:vAlign w:val="center"/>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bl>
            <w:tblPr>
              <w:tblStyle w:val="Table10"/>
              <w:tblW w:w="96.0" w:type="dxa"/>
              <w:jc w:val="left"/>
              <w:tblLayout w:type="fixed"/>
              <w:tblLook w:val="0400"/>
            </w:tblPr>
            <w:tblGrid>
              <w:gridCol w:w="96"/>
              <w:tblGridChange w:id="0">
                <w:tblGrid>
                  <w:gridCol w:w="96"/>
                </w:tblGrid>
              </w:tblGridChange>
            </w:tblGrid>
            <w:tr>
              <w:trPr>
                <w:cantSplit w:val="0"/>
                <w:tblHeader w:val="0"/>
              </w:trPr>
              <w:tc>
                <w:tcPr>
                  <w:vAlign w:val="center"/>
                </w:tcPr>
                <w:p w:rsidR="00000000" w:rsidDel="00000000" w:rsidP="00000000" w:rsidRDefault="00000000" w:rsidRPr="00000000" w14:paraId="000000F2">
                  <w:pPr>
                    <w:widowControl w:val="0"/>
                    <w:spacing w:after="0" w:line="288" w:lineRule="auto"/>
                    <w:ind w:firstLine="38"/>
                    <w:jc w:val="center"/>
                    <w:rPr>
                      <w:rFonts w:ascii="Times New Roman" w:cs="Times New Roman" w:eastAsia="Times New Roman" w:hAnsi="Times New Roman"/>
                      <w:sz w:val="26"/>
                      <w:szCs w:val="26"/>
                    </w:rPr>
                  </w:pPr>
                  <w:r w:rsidDel="00000000" w:rsidR="00000000" w:rsidRPr="00000000">
                    <w:rPr>
                      <w:rtl w:val="0"/>
                    </w:rPr>
                  </w:r>
                </w:p>
              </w:tc>
            </w:tr>
          </w:tbl>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6"/>
                <w:szCs w:val="26"/>
              </w:rPr>
            </w:pPr>
            <w:r w:rsidDel="00000000" w:rsidR="00000000" w:rsidRPr="00000000">
              <w:rPr>
                <w:rtl w:val="0"/>
              </w:rPr>
            </w:r>
          </w:p>
          <w:tbl>
            <w:tblPr>
              <w:tblStyle w:val="Table11"/>
              <w:tblW w:w="2518.0" w:type="dxa"/>
              <w:jc w:val="center"/>
              <w:tblLayout w:type="fixed"/>
              <w:tblLook w:val="0400"/>
            </w:tblPr>
            <w:tblGrid>
              <w:gridCol w:w="2518"/>
              <w:tblGridChange w:id="0">
                <w:tblGrid>
                  <w:gridCol w:w="2518"/>
                </w:tblGrid>
              </w:tblGridChange>
            </w:tblGrid>
            <w:tr>
              <w:trPr>
                <w:cantSplit w:val="0"/>
                <w:tblHeader w:val="0"/>
              </w:trPr>
              <w:tc>
                <w:tcPr>
                  <w:vAlign w:val="center"/>
                </w:tcPr>
                <w:p w:rsidR="00000000" w:rsidDel="00000000" w:rsidP="00000000" w:rsidRDefault="00000000" w:rsidRPr="00000000" w14:paraId="000000F4">
                  <w:pPr>
                    <w:widowControl w:val="0"/>
                    <w:spacing w:after="0" w:line="288" w:lineRule="auto"/>
                    <w:ind w:firstLine="38"/>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Chairman of the Board</w:t>
                  </w:r>
                </w:p>
              </w:tc>
            </w:tr>
          </w:tbl>
          <w:p w:rsidR="00000000" w:rsidDel="00000000" w:rsidP="00000000" w:rsidRDefault="00000000" w:rsidRPr="00000000" w14:paraId="000000F5">
            <w:pPr>
              <w:widowControl w:val="0"/>
              <w:spacing w:line="288" w:lineRule="auto"/>
              <w:ind w:firstLine="38"/>
              <w:jc w:val="center"/>
              <w:rPr>
                <w:rFonts w:ascii="Times New Roman" w:cs="Times New Roman" w:eastAsia="Times New Roman" w:hAnsi="Times New Roman"/>
                <w:sz w:val="26"/>
                <w:szCs w:val="26"/>
              </w:rPr>
            </w:pP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0F6">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vAlign w:val="center"/>
          </w:tcPr>
          <w:p w:rsidR="00000000" w:rsidDel="00000000" w:rsidP="00000000" w:rsidRDefault="00000000" w:rsidRPr="00000000" w14:paraId="000000F7">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Nguyễn Quang Giang</w:t>
            </w:r>
          </w:p>
        </w:tc>
        <w:tc>
          <w:tcPr>
            <w:vAlign w:val="center"/>
          </w:tcPr>
          <w:p w:rsidR="00000000" w:rsidDel="00000000" w:rsidP="00000000" w:rsidRDefault="00000000" w:rsidRPr="00000000" w14:paraId="000000F8">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Member</w:t>
            </w:r>
            <w:r w:rsidDel="00000000" w:rsidR="00000000" w:rsidRPr="00000000">
              <w:rPr>
                <w:rtl w:val="0"/>
              </w:rPr>
            </w:r>
          </w:p>
        </w:tc>
        <w:tc>
          <w:tcPr>
            <w:vAlign w:val="center"/>
          </w:tcPr>
          <w:p w:rsidR="00000000" w:rsidDel="00000000" w:rsidP="00000000" w:rsidRDefault="00000000" w:rsidRPr="00000000" w14:paraId="000000F9">
            <w:pPr>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Deputy General Director</w:t>
            </w:r>
          </w:p>
        </w:tc>
      </w:tr>
      <w:tr>
        <w:trPr>
          <w:cantSplit w:val="0"/>
          <w:trHeight w:val="375" w:hRule="atLeast"/>
          <w:tblHeader w:val="0"/>
        </w:trPr>
        <w:tc>
          <w:tcPr>
            <w:vAlign w:val="center"/>
          </w:tcPr>
          <w:p w:rsidR="00000000" w:rsidDel="00000000" w:rsidP="00000000" w:rsidRDefault="00000000" w:rsidRPr="00000000" w14:paraId="000000FA">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p w:rsidR="00000000" w:rsidDel="00000000" w:rsidP="00000000" w:rsidRDefault="00000000" w:rsidRPr="00000000" w14:paraId="000000FB">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Nguyễn Văn Tuấn</w:t>
            </w:r>
          </w:p>
        </w:tc>
        <w:tc>
          <w:tcPr>
            <w:vAlign w:val="center"/>
          </w:tcPr>
          <w:p w:rsidR="00000000" w:rsidDel="00000000" w:rsidP="00000000" w:rsidRDefault="00000000" w:rsidRPr="00000000" w14:paraId="000000FC">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Member</w:t>
            </w:r>
            <w:r w:rsidDel="00000000" w:rsidR="00000000" w:rsidRPr="00000000">
              <w:rPr>
                <w:rtl w:val="0"/>
              </w:rPr>
            </w:r>
          </w:p>
        </w:tc>
        <w:tc>
          <w:tcPr>
            <w:vAlign w:val="center"/>
          </w:tcPr>
          <w:p w:rsidR="00000000" w:rsidDel="00000000" w:rsidP="00000000" w:rsidRDefault="00000000" w:rsidRPr="00000000" w14:paraId="000000FD">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None</w:t>
            </w:r>
          </w:p>
        </w:tc>
      </w:tr>
      <w:tr>
        <w:trPr>
          <w:cantSplit w:val="0"/>
          <w:trHeight w:val="349" w:hRule="atLeast"/>
          <w:tblHeader w:val="0"/>
        </w:trPr>
        <w:tc>
          <w:tcPr>
            <w:vAlign w:val="center"/>
          </w:tcPr>
          <w:p w:rsidR="00000000" w:rsidDel="00000000" w:rsidP="00000000" w:rsidRDefault="00000000" w:rsidRPr="00000000" w14:paraId="000000FE">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w:t>
            </w:r>
          </w:p>
        </w:tc>
        <w:tc>
          <w:tcPr>
            <w:vAlign w:val="center"/>
          </w:tcPr>
          <w:p w:rsidR="00000000" w:rsidDel="00000000" w:rsidP="00000000" w:rsidRDefault="00000000" w:rsidRPr="00000000" w14:paraId="000000FF">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Lê Thị Hoài Anh</w:t>
            </w:r>
          </w:p>
        </w:tc>
        <w:tc>
          <w:tcPr>
            <w:vAlign w:val="center"/>
          </w:tcPr>
          <w:p w:rsidR="00000000" w:rsidDel="00000000" w:rsidP="00000000" w:rsidRDefault="00000000" w:rsidRPr="00000000" w14:paraId="00000100">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Independent Member</w:t>
            </w:r>
            <w:r w:rsidDel="00000000" w:rsidR="00000000" w:rsidRPr="00000000">
              <w:rPr>
                <w:rtl w:val="0"/>
              </w:rPr>
            </w:r>
          </w:p>
        </w:tc>
        <w:tc>
          <w:tcPr>
            <w:vAlign w:val="center"/>
          </w:tcPr>
          <w:p w:rsidR="00000000" w:rsidDel="00000000" w:rsidP="00000000" w:rsidRDefault="00000000" w:rsidRPr="00000000" w14:paraId="00000101">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None</w:t>
            </w:r>
          </w:p>
        </w:tc>
      </w:tr>
      <w:tr>
        <w:trPr>
          <w:cantSplit w:val="0"/>
          <w:trHeight w:val="375" w:hRule="atLeast"/>
          <w:tblHeader w:val="0"/>
        </w:trPr>
        <w:tc>
          <w:tcPr>
            <w:vAlign w:val="center"/>
          </w:tcPr>
          <w:p w:rsidR="00000000" w:rsidDel="00000000" w:rsidP="00000000" w:rsidRDefault="00000000" w:rsidRPr="00000000" w14:paraId="00000102">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w:t>
            </w:r>
          </w:p>
        </w:tc>
        <w:tc>
          <w:tcPr>
            <w:vAlign w:val="center"/>
          </w:tcPr>
          <w:p w:rsidR="00000000" w:rsidDel="00000000" w:rsidP="00000000" w:rsidRDefault="00000000" w:rsidRPr="00000000" w14:paraId="00000103">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Lã Thị Mai Liên</w:t>
            </w:r>
          </w:p>
        </w:tc>
        <w:tc>
          <w:tcPr>
            <w:vAlign w:val="center"/>
          </w:tcPr>
          <w:p w:rsidR="00000000" w:rsidDel="00000000" w:rsidP="00000000" w:rsidRDefault="00000000" w:rsidRPr="00000000" w14:paraId="00000104">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Member</w:t>
            </w:r>
            <w:r w:rsidDel="00000000" w:rsidR="00000000" w:rsidRPr="00000000">
              <w:rPr>
                <w:rtl w:val="0"/>
              </w:rPr>
            </w:r>
          </w:p>
        </w:tc>
        <w:tc>
          <w:tcPr>
            <w:vAlign w:val="center"/>
          </w:tcPr>
          <w:p w:rsidR="00000000" w:rsidDel="00000000" w:rsidP="00000000" w:rsidRDefault="00000000" w:rsidRPr="00000000" w14:paraId="00000105">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Deputy General Director</w:t>
            </w:r>
          </w:p>
        </w:tc>
      </w:tr>
    </w:tbl>
    <w:p w:rsidR="00000000" w:rsidDel="00000000" w:rsidP="00000000" w:rsidRDefault="00000000" w:rsidRPr="00000000" w14:paraId="00000106">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6105"/>
        </w:tabs>
        <w:spacing w:after="60" w:before="60" w:line="240" w:lineRule="auto"/>
        <w:ind w:left="927" w:right="0" w:hanging="36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Implementation of the 2024 General Meeting Resolutions</w:t>
      </w:r>
    </w:p>
    <w:p w:rsidR="00000000" w:rsidDel="00000000" w:rsidP="00000000" w:rsidRDefault="00000000" w:rsidRPr="00000000" w14:paraId="00000107">
      <w:pPr>
        <w:widowControl w:val="0"/>
        <w:tabs>
          <w:tab w:val="left" w:leader="none" w:pos="567"/>
        </w:tabs>
        <w:spacing w:line="288"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2.1.1. Business and Investment Activities</w:t>
      </w:r>
    </w:p>
    <w:p w:rsidR="00000000" w:rsidDel="00000000" w:rsidP="00000000" w:rsidRDefault="00000000" w:rsidRPr="00000000" w14:paraId="00000108">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In 2024, the Board of Directors fulfilled its duties effectively, providing strategic direction, management oversight, and ensuring that all plans and resolutions passed by the General Meeting of Shareholders were properly implemented.</w:t>
      </w:r>
    </w:p>
    <w:p w:rsidR="00000000" w:rsidDel="00000000" w:rsidP="00000000" w:rsidRDefault="00000000" w:rsidRPr="00000000" w14:paraId="00000109">
      <w:pPr>
        <w:widowControl w:val="0"/>
        <w:spacing w:after="0" w:line="288" w:lineRule="auto"/>
        <w:ind w:firstLine="567"/>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2.1.1 2024 Business Performance:</w:t>
      </w:r>
    </w:p>
    <w:p w:rsidR="00000000" w:rsidDel="00000000" w:rsidP="00000000" w:rsidRDefault="00000000" w:rsidRPr="00000000" w14:paraId="0000010A">
      <w:pPr>
        <w:widowControl w:val="0"/>
        <w:spacing w:after="0" w:line="288" w:lineRule="auto"/>
        <w:ind w:firstLine="567"/>
        <w:jc w:val="right"/>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i w:val="1"/>
          <w:sz w:val="26"/>
          <w:szCs w:val="26"/>
          <w:rtl w:val="0"/>
        </w:rPr>
        <w:t xml:space="preserve">Unit:VND</w:t>
      </w:r>
    </w:p>
    <w:tbl>
      <w:tblPr>
        <w:tblStyle w:val="Table12"/>
        <w:tblW w:w="8901.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6"/>
        <w:gridCol w:w="1843"/>
        <w:gridCol w:w="2098"/>
        <w:gridCol w:w="1984"/>
        <w:tblGridChange w:id="0">
          <w:tblGrid>
            <w:gridCol w:w="2976"/>
            <w:gridCol w:w="1843"/>
            <w:gridCol w:w="2098"/>
            <w:gridCol w:w="1984"/>
          </w:tblGrid>
        </w:tblGridChange>
      </w:tblGrid>
      <w:tr>
        <w:trPr>
          <w:cantSplit w:val="0"/>
          <w:trHeight w:val="823" w:hRule="atLeast"/>
          <w:tblHeader w:val="1"/>
        </w:trPr>
        <w:tc>
          <w:tcPr>
            <w:shd w:fill="auto" w:val="clear"/>
            <w:vAlign w:val="center"/>
          </w:tcPr>
          <w:p w:rsidR="00000000" w:rsidDel="00000000" w:rsidP="00000000" w:rsidRDefault="00000000" w:rsidRPr="00000000" w14:paraId="0000010B">
            <w:pPr>
              <w:widowControl w:val="0"/>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Indicator</w:t>
            </w:r>
          </w:p>
        </w:tc>
        <w:tc>
          <w:tcPr>
            <w:shd w:fill="auto" w:val="clear"/>
            <w:vAlign w:val="center"/>
          </w:tcPr>
          <w:p w:rsidR="00000000" w:rsidDel="00000000" w:rsidP="00000000" w:rsidRDefault="00000000" w:rsidRPr="00000000" w14:paraId="0000010C">
            <w:pPr>
              <w:widowControl w:val="0"/>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2024 Target</w:t>
            </w:r>
          </w:p>
        </w:tc>
        <w:tc>
          <w:tcPr>
            <w:shd w:fill="auto" w:val="clear"/>
            <w:vAlign w:val="center"/>
          </w:tcPr>
          <w:p w:rsidR="00000000" w:rsidDel="00000000" w:rsidP="00000000" w:rsidRDefault="00000000" w:rsidRPr="00000000" w14:paraId="0000010D">
            <w:pPr>
              <w:widowControl w:val="0"/>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2024 Actual</w:t>
            </w:r>
          </w:p>
        </w:tc>
        <w:tc>
          <w:tcPr>
            <w:shd w:fill="auto" w:val="clear"/>
            <w:vAlign w:val="center"/>
          </w:tcPr>
          <w:p w:rsidR="00000000" w:rsidDel="00000000" w:rsidP="00000000" w:rsidRDefault="00000000" w:rsidRPr="00000000" w14:paraId="0000010E">
            <w:pPr>
              <w:widowControl w:val="0"/>
              <w:spacing w:line="288"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Completion (%)</w:t>
            </w:r>
          </w:p>
        </w:tc>
      </w:tr>
      <w:tr>
        <w:trPr>
          <w:cantSplit w:val="0"/>
          <w:trHeight w:val="465" w:hRule="atLeast"/>
          <w:tblHeader w:val="0"/>
        </w:trPr>
        <w:tc>
          <w:tcPr>
            <w:shd w:fill="auto" w:val="clear"/>
            <w:vAlign w:val="center"/>
          </w:tcPr>
          <w:p w:rsidR="00000000" w:rsidDel="00000000" w:rsidP="00000000" w:rsidRDefault="00000000" w:rsidRPr="00000000" w14:paraId="0000010F">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Revenue</w:t>
            </w:r>
          </w:p>
        </w:tc>
        <w:tc>
          <w:tcPr>
            <w:shd w:fill="auto" w:val="clear"/>
            <w:vAlign w:val="center"/>
          </w:tcPr>
          <w:p w:rsidR="00000000" w:rsidDel="00000000" w:rsidP="00000000" w:rsidRDefault="00000000" w:rsidRPr="00000000" w14:paraId="00000110">
            <w:pPr>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35.000.000.000</w:t>
            </w:r>
          </w:p>
        </w:tc>
        <w:tc>
          <w:tcPr>
            <w:shd w:fill="auto" w:val="clear"/>
            <w:vAlign w:val="center"/>
          </w:tcPr>
          <w:p w:rsidR="00000000" w:rsidDel="00000000" w:rsidP="00000000" w:rsidRDefault="00000000" w:rsidRPr="00000000" w14:paraId="00000111">
            <w:pPr>
              <w:widowControl w:val="0"/>
              <w:spacing w:line="288" w:lineRule="auto"/>
              <w:jc w:val="right"/>
              <w:rPr>
                <w:rFonts w:ascii="Times New Roman" w:cs="Times New Roman" w:eastAsia="Times New Roman" w:hAnsi="Times New Roman"/>
                <w:sz w:val="26"/>
                <w:szCs w:val="26"/>
                <w:highlight w:val="red"/>
              </w:rPr>
            </w:pPr>
            <w:r w:rsidDel="00000000" w:rsidR="00000000" w:rsidRPr="00000000">
              <w:rPr>
                <w:rFonts w:ascii="Times New Roman" w:cs="Times New Roman" w:eastAsia="Times New Roman" w:hAnsi="Times New Roman"/>
                <w:sz w:val="26"/>
                <w:szCs w:val="26"/>
                <w:rtl w:val="0"/>
              </w:rPr>
              <w:t xml:space="preserve">27.334.111.010</w:t>
            </w:r>
            <w:r w:rsidDel="00000000" w:rsidR="00000000" w:rsidRPr="00000000">
              <w:rPr>
                <w:rtl w:val="0"/>
              </w:rPr>
            </w:r>
          </w:p>
        </w:tc>
        <w:tc>
          <w:tcPr>
            <w:shd w:fill="auto" w:val="clear"/>
            <w:vAlign w:val="center"/>
          </w:tcPr>
          <w:p w:rsidR="00000000" w:rsidDel="00000000" w:rsidP="00000000" w:rsidRDefault="00000000" w:rsidRPr="00000000" w14:paraId="00000112">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78</w:t>
            </w:r>
          </w:p>
        </w:tc>
      </w:tr>
      <w:tr>
        <w:trPr>
          <w:cantSplit w:val="0"/>
          <w:trHeight w:val="465" w:hRule="atLeast"/>
          <w:tblHeader w:val="0"/>
        </w:trPr>
        <w:tc>
          <w:tcPr>
            <w:shd w:fill="auto" w:val="clear"/>
            <w:vAlign w:val="center"/>
          </w:tcPr>
          <w:p w:rsidR="00000000" w:rsidDel="00000000" w:rsidP="00000000" w:rsidRDefault="00000000" w:rsidRPr="00000000" w14:paraId="00000113">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Profit before tax</w:t>
            </w:r>
          </w:p>
        </w:tc>
        <w:tc>
          <w:tcPr>
            <w:shd w:fill="auto" w:val="clear"/>
            <w:vAlign w:val="center"/>
          </w:tcPr>
          <w:p w:rsidR="00000000" w:rsidDel="00000000" w:rsidP="00000000" w:rsidRDefault="00000000" w:rsidRPr="00000000" w14:paraId="00000114">
            <w:pPr>
              <w:jc w:val="right"/>
              <w:rPr>
                <w:rFonts w:ascii="Times New Roman" w:cs="Times New Roman" w:eastAsia="Times New Roman" w:hAnsi="Times New Roman"/>
                <w:sz w:val="26"/>
                <w:szCs w:val="26"/>
                <w:highlight w:val="red"/>
              </w:rPr>
            </w:pPr>
            <w:r w:rsidDel="00000000" w:rsidR="00000000" w:rsidRPr="00000000">
              <w:rPr>
                <w:rFonts w:ascii="Times New Roman" w:cs="Times New Roman" w:eastAsia="Times New Roman" w:hAnsi="Times New Roman"/>
                <w:sz w:val="24"/>
                <w:szCs w:val="24"/>
                <w:rtl w:val="0"/>
              </w:rPr>
              <w:t xml:space="preserve">2.800.000.000</w:t>
            </w:r>
            <w:r w:rsidDel="00000000" w:rsidR="00000000" w:rsidRPr="00000000">
              <w:rPr>
                <w:rtl w:val="0"/>
              </w:rPr>
            </w:r>
          </w:p>
        </w:tc>
        <w:tc>
          <w:tcPr>
            <w:shd w:fill="auto" w:val="clear"/>
            <w:vAlign w:val="center"/>
          </w:tcPr>
          <w:p w:rsidR="00000000" w:rsidDel="00000000" w:rsidP="00000000" w:rsidRDefault="00000000" w:rsidRPr="00000000" w14:paraId="00000115">
            <w:pPr>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1.279.870.211</w:t>
            </w:r>
          </w:p>
        </w:tc>
        <w:tc>
          <w:tcPr>
            <w:shd w:fill="auto" w:val="clear"/>
            <w:vAlign w:val="center"/>
          </w:tcPr>
          <w:p w:rsidR="00000000" w:rsidDel="00000000" w:rsidP="00000000" w:rsidRDefault="00000000" w:rsidRPr="00000000" w14:paraId="00000116">
            <w:pPr>
              <w:widowControl w:val="0"/>
              <w:spacing w:line="288"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46</w:t>
            </w:r>
          </w:p>
        </w:tc>
      </w:tr>
      <w:tr>
        <w:trPr>
          <w:cantSplit w:val="0"/>
          <w:trHeight w:val="465" w:hRule="atLeast"/>
          <w:tblHeader w:val="0"/>
        </w:trPr>
        <w:tc>
          <w:tcPr>
            <w:shd w:fill="auto" w:val="clear"/>
            <w:vAlign w:val="center"/>
          </w:tcPr>
          <w:p w:rsidR="00000000" w:rsidDel="00000000" w:rsidP="00000000" w:rsidRDefault="00000000" w:rsidRPr="00000000" w14:paraId="00000117">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Profit after tax</w:t>
            </w:r>
          </w:p>
        </w:tc>
        <w:tc>
          <w:tcPr>
            <w:shd w:fill="auto" w:val="clear"/>
            <w:vAlign w:val="center"/>
          </w:tcPr>
          <w:p w:rsidR="00000000" w:rsidDel="00000000" w:rsidP="00000000" w:rsidRDefault="00000000" w:rsidRPr="00000000" w14:paraId="00000118">
            <w:pPr>
              <w:widowControl w:val="0"/>
              <w:spacing w:line="288" w:lineRule="auto"/>
              <w:jc w:val="right"/>
              <w:rPr>
                <w:rFonts w:ascii="Times New Roman" w:cs="Times New Roman" w:eastAsia="Times New Roman" w:hAnsi="Times New Roman"/>
                <w:sz w:val="26"/>
                <w:szCs w:val="26"/>
                <w:highlight w:val="red"/>
              </w:rPr>
            </w:pPr>
            <w:r w:rsidDel="00000000" w:rsidR="00000000" w:rsidRPr="00000000">
              <w:rPr>
                <w:rFonts w:ascii="Times New Roman" w:cs="Times New Roman" w:eastAsia="Times New Roman" w:hAnsi="Times New Roman"/>
                <w:sz w:val="24"/>
                <w:szCs w:val="24"/>
                <w:rtl w:val="0"/>
              </w:rPr>
              <w:t xml:space="preserve">2.240.000.000</w:t>
            </w:r>
            <w:r w:rsidDel="00000000" w:rsidR="00000000" w:rsidRPr="00000000">
              <w:rPr>
                <w:rtl w:val="0"/>
              </w:rPr>
            </w:r>
          </w:p>
        </w:tc>
        <w:tc>
          <w:tcPr>
            <w:shd w:fill="auto" w:val="clear"/>
            <w:vAlign w:val="center"/>
          </w:tcPr>
          <w:p w:rsidR="00000000" w:rsidDel="00000000" w:rsidP="00000000" w:rsidRDefault="00000000" w:rsidRPr="00000000" w14:paraId="00000119">
            <w:pPr>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1.279.870.211</w:t>
            </w:r>
          </w:p>
        </w:tc>
        <w:tc>
          <w:tcPr>
            <w:shd w:fill="auto" w:val="clear"/>
            <w:vAlign w:val="center"/>
          </w:tcPr>
          <w:p w:rsidR="00000000" w:rsidDel="00000000" w:rsidP="00000000" w:rsidRDefault="00000000" w:rsidRPr="00000000" w14:paraId="0000011A">
            <w:pPr>
              <w:widowControl w:val="0"/>
              <w:spacing w:line="288" w:lineRule="auto"/>
              <w:jc w:val="center"/>
              <w:rPr>
                <w:rFonts w:ascii="Times New Roman" w:cs="Times New Roman" w:eastAsia="Times New Roman" w:hAnsi="Times New Roman"/>
                <w:sz w:val="26"/>
                <w:szCs w:val="26"/>
                <w:highlight w:val="red"/>
              </w:rPr>
            </w:pPr>
            <w:r w:rsidDel="00000000" w:rsidR="00000000" w:rsidRPr="00000000">
              <w:rPr>
                <w:rFonts w:ascii="Times New Roman" w:cs="Times New Roman" w:eastAsia="Times New Roman" w:hAnsi="Times New Roman"/>
                <w:sz w:val="26"/>
                <w:szCs w:val="26"/>
                <w:rtl w:val="0"/>
              </w:rPr>
              <w:t xml:space="preserve">57</w:t>
            </w:r>
            <w:r w:rsidDel="00000000" w:rsidR="00000000" w:rsidRPr="00000000">
              <w:rPr>
                <w:rtl w:val="0"/>
              </w:rPr>
            </w:r>
          </w:p>
        </w:tc>
      </w:tr>
      <w:tr>
        <w:trPr>
          <w:cantSplit w:val="0"/>
          <w:trHeight w:val="483" w:hRule="atLeast"/>
          <w:tblHeader w:val="0"/>
        </w:trPr>
        <w:tc>
          <w:tcPr>
            <w:shd w:fill="auto" w:val="clear"/>
            <w:vAlign w:val="center"/>
          </w:tcPr>
          <w:p w:rsidR="00000000" w:rsidDel="00000000" w:rsidP="00000000" w:rsidRDefault="00000000" w:rsidRPr="00000000" w14:paraId="0000011B">
            <w:pPr>
              <w:widowControl w:val="0"/>
              <w:spacing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Basic earnings per share</w:t>
            </w:r>
          </w:p>
        </w:tc>
        <w:tc>
          <w:tcPr>
            <w:shd w:fill="auto" w:val="clear"/>
            <w:vAlign w:val="center"/>
          </w:tcPr>
          <w:p w:rsidR="00000000" w:rsidDel="00000000" w:rsidP="00000000" w:rsidRDefault="00000000" w:rsidRPr="00000000" w14:paraId="0000011C">
            <w:pPr>
              <w:widowControl w:val="0"/>
              <w:spacing w:line="288"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115</w:t>
            </w:r>
          </w:p>
        </w:tc>
        <w:tc>
          <w:tcPr>
            <w:shd w:fill="auto" w:val="clear"/>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92"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66</w:t>
            </w:r>
          </w:p>
        </w:tc>
        <w:tc>
          <w:tcPr>
            <w:shd w:fill="auto" w:val="clear"/>
            <w:vAlign w:val="cente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57</w:t>
            </w:r>
          </w:p>
        </w:tc>
      </w:tr>
    </w:tbl>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2"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20">
      <w:pPr>
        <w:widowControl w:val="0"/>
        <w:spacing w:after="0" w:line="288"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2.1.2. Investment Activities:</w:t>
      </w:r>
    </w:p>
    <w:p w:rsidR="00000000" w:rsidDel="00000000" w:rsidP="00000000" w:rsidRDefault="00000000" w:rsidRPr="00000000" w14:paraId="00000121">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In 2024, the Board recognized that the economy remained uncertain and volatile. Therefore, investment projects were still in the preparatory stage to establish a solid foundation for future growth.</w:t>
      </w:r>
    </w:p>
    <w:p w:rsidR="00000000" w:rsidDel="00000000" w:rsidP="00000000" w:rsidRDefault="00000000" w:rsidRPr="00000000" w14:paraId="00000122">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spacing w:after="0" w:before="0" w:line="288" w:lineRule="auto"/>
        <w:ind w:left="1287" w:right="0" w:hanging="72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Profit Distribution for 2024</w:t>
      </w:r>
    </w:p>
    <w:p w:rsidR="00000000" w:rsidDel="00000000" w:rsidP="00000000" w:rsidRDefault="00000000" w:rsidRPr="00000000" w14:paraId="00000123">
      <w:pPr>
        <w:widowControl w:val="0"/>
        <w:tabs>
          <w:tab w:val="left" w:leader="none" w:pos="567"/>
        </w:tabs>
        <w:spacing w:before="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accumulated business results carried forward from 2023 to 2024 were VND 1.279 billion, and by December 31, 2024, the total accumulated profit was VND 3.482 billion.</w:t>
      </w:r>
    </w:p>
    <w:p w:rsidR="00000000" w:rsidDel="00000000" w:rsidP="00000000" w:rsidRDefault="00000000" w:rsidRPr="00000000" w14:paraId="00000124">
      <w:pPr>
        <w:widowControl w:val="0"/>
        <w:tabs>
          <w:tab w:val="left" w:leader="none" w:pos="567"/>
        </w:tabs>
        <w:spacing w:before="12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However, in 2025, the Company plans to continue investing in the construction of the headquarters and to increase working capital. The focus will be on preserving and steadily growing shareholders’ equity. As such, the Company will not distribute profits or pay dividends for the year 2024.</w:t>
      </w:r>
    </w:p>
    <w:p w:rsidR="00000000" w:rsidDel="00000000" w:rsidP="00000000" w:rsidRDefault="00000000" w:rsidRPr="00000000" w14:paraId="00000125">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tabs>
          <w:tab w:val="left" w:leader="none" w:pos="567"/>
        </w:tabs>
        <w:spacing w:after="0" w:before="120" w:line="288" w:lineRule="auto"/>
        <w:ind w:left="1287" w:right="0" w:hanging="72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Remuneration for the BOD and Supervisory Board in 2024</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2277" w:right="0" w:firstLine="0"/>
        <w:jc w:val="right"/>
        <w:rPr>
          <w:rFonts w:ascii="Times New Roman" w:cs="Times New Roman" w:eastAsia="Times New Roman" w:hAnsi="Times New Roman"/>
          <w:b w:val="0"/>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Unit: VND</w:t>
      </w:r>
    </w:p>
    <w:tbl>
      <w:tblPr>
        <w:tblStyle w:val="Table13"/>
        <w:tblW w:w="9395.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46"/>
        <w:gridCol w:w="2231"/>
        <w:gridCol w:w="2127"/>
        <w:gridCol w:w="1984"/>
        <w:gridCol w:w="2307"/>
        <w:tblGridChange w:id="0">
          <w:tblGrid>
            <w:gridCol w:w="746"/>
            <w:gridCol w:w="2231"/>
            <w:gridCol w:w="2127"/>
            <w:gridCol w:w="1984"/>
            <w:gridCol w:w="2307"/>
          </w:tblGrid>
        </w:tblGridChange>
      </w:tblGrid>
      <w:tr>
        <w:trPr>
          <w:cantSplit w:val="0"/>
          <w:trHeight w:val="354" w:hRule="atLeast"/>
          <w:tblHeader w:val="0"/>
        </w:trPr>
        <w:tc>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No</w:t>
            </w:r>
          </w:p>
        </w:tc>
        <w:tc>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Item</w:t>
            </w:r>
          </w:p>
        </w:tc>
        <w:tc>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Planned (2024)</w:t>
            </w:r>
          </w:p>
        </w:tc>
        <w:tc>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Actual (2024)</w:t>
            </w:r>
          </w:p>
        </w:tc>
        <w:tc>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Completion Rate</w:t>
            </w:r>
          </w:p>
        </w:tc>
      </w:tr>
      <w:tr>
        <w:trPr>
          <w:cantSplit w:val="0"/>
          <w:trHeight w:val="372" w:hRule="atLeast"/>
          <w:tblHeader w:val="0"/>
        </w:trPr>
        <w:tc>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w:t>
            </w:r>
          </w:p>
        </w:tc>
        <w:tc>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Board of Directors</w:t>
            </w:r>
          </w:p>
        </w:tc>
        <w:tc>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149.760.000</w:t>
            </w:r>
          </w:p>
        </w:tc>
        <w:tc>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149.760.000</w:t>
            </w:r>
          </w:p>
        </w:tc>
        <w:tc>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100%</w:t>
            </w:r>
          </w:p>
        </w:tc>
      </w:tr>
      <w:tr>
        <w:trPr>
          <w:cantSplit w:val="0"/>
          <w:trHeight w:val="372" w:hRule="atLeast"/>
          <w:tblHeader w:val="0"/>
        </w:trPr>
        <w:tc>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w:t>
            </w:r>
          </w:p>
        </w:tc>
        <w:tc>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Supervisory Board</w:t>
            </w:r>
          </w:p>
        </w:tc>
        <w:tc>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49.920.000</w:t>
            </w:r>
          </w:p>
        </w:tc>
        <w:tc>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49.920.000</w:t>
            </w:r>
          </w:p>
        </w:tc>
        <w:tc>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100%</w:t>
            </w:r>
          </w:p>
        </w:tc>
      </w:tr>
      <w:tr>
        <w:trPr>
          <w:cantSplit w:val="0"/>
          <w:trHeight w:val="382" w:hRule="atLeast"/>
          <w:tblHeader w:val="0"/>
        </w:trPr>
        <w:tc>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Total:</w:t>
            </w:r>
          </w:p>
        </w:tc>
        <w:tc>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199.680.000</w:t>
            </w:r>
            <w:r w:rsidDel="00000000" w:rsidR="00000000" w:rsidRPr="00000000">
              <w:rPr>
                <w:rtl w:val="0"/>
              </w:rPr>
            </w:r>
          </w:p>
        </w:tc>
        <w:tc>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199.680.000</w:t>
            </w:r>
          </w:p>
        </w:tc>
        <w:tc>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100%</w:t>
            </w:r>
          </w:p>
        </w:tc>
      </w:tr>
    </w:tbl>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1917"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3C">
      <w:pPr>
        <w:widowControl w:val="0"/>
        <w:spacing w:line="288" w:lineRule="auto"/>
        <w:jc w:val="both"/>
        <w:rPr>
          <w:rFonts w:ascii="Times New Roman" w:cs="Times New Roman" w:eastAsia="Times New Roman" w:hAnsi="Times New Roman"/>
          <w:b w:val="1"/>
          <w:i w:val="1"/>
          <w:sz w:val="26"/>
          <w:szCs w:val="26"/>
        </w:rPr>
      </w:pPr>
      <w:r w:rsidDel="00000000" w:rsidR="00000000" w:rsidRPr="00000000">
        <w:rPr>
          <w:rtl w:val="0"/>
        </w:rPr>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1917" w:right="0" w:hanging="1350"/>
        <w:jc w:val="both"/>
        <w:rPr>
          <w:rFonts w:ascii="Times New Roman" w:cs="Times New Roman" w:eastAsia="Times New Roman" w:hAnsi="Times New Roman"/>
          <w:b w:val="1"/>
          <w:i w:val="1"/>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6"/>
          <w:szCs w:val="26"/>
          <w:u w:val="none"/>
          <w:shd w:fill="auto" w:val="clear"/>
          <w:vertAlign w:val="baseline"/>
          <w:rtl w:val="0"/>
        </w:rPr>
        <w:t xml:space="preserve">Detailed Remuneration per Member:</w:t>
      </w:r>
    </w:p>
    <w:tbl>
      <w:tblPr>
        <w:tblStyle w:val="Table14"/>
        <w:tblW w:w="9425.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46"/>
        <w:gridCol w:w="3507"/>
        <w:gridCol w:w="5172"/>
        <w:tblGridChange w:id="0">
          <w:tblGrid>
            <w:gridCol w:w="746"/>
            <w:gridCol w:w="3507"/>
            <w:gridCol w:w="5172"/>
          </w:tblGrid>
        </w:tblGridChange>
      </w:tblGrid>
      <w:tr>
        <w:trPr>
          <w:cantSplit w:val="0"/>
          <w:trHeight w:val="529" w:hRule="atLeast"/>
          <w:tblHeader w:val="0"/>
        </w:trPr>
        <w:tc>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No</w:t>
            </w:r>
          </w:p>
        </w:tc>
        <w:tc>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Full name</w:t>
            </w:r>
          </w:p>
        </w:tc>
        <w:tc>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Annual Remuneration (VND)/person/year)</w:t>
            </w:r>
          </w:p>
        </w:tc>
      </w:tr>
      <w:tr>
        <w:trPr>
          <w:cantSplit w:val="0"/>
          <w:trHeight w:val="373" w:hRule="atLeast"/>
          <w:tblHeader w:val="0"/>
        </w:trPr>
        <w:tc>
          <w:tcPr>
            <w:gridSpan w:val="3"/>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Board of Directors:</w:t>
            </w:r>
          </w:p>
        </w:tc>
      </w:tr>
      <w:tr>
        <w:trPr>
          <w:cantSplit w:val="0"/>
          <w:trHeight w:val="383" w:hRule="atLeast"/>
          <w:tblHeader w:val="0"/>
        </w:trPr>
        <w:tc>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w:t>
            </w:r>
          </w:p>
        </w:tc>
        <w:tc>
          <w:tcPr>
            <w:vAlign w:val="center"/>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Nam Tiến</w:t>
            </w:r>
          </w:p>
        </w:tc>
        <w:tc>
          <w:tcPr>
            <w:vAlign w:val="center"/>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33.280.000</w:t>
            </w:r>
          </w:p>
        </w:tc>
      </w:tr>
      <w:tr>
        <w:trPr>
          <w:cantSplit w:val="0"/>
          <w:trHeight w:val="393" w:hRule="atLeast"/>
          <w:tblHeader w:val="0"/>
        </w:trPr>
        <w:tc>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w:t>
            </w:r>
          </w:p>
        </w:tc>
        <w:tc>
          <w:tcPr>
            <w:vAlign w:val="cente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Quốc Thái</w:t>
            </w:r>
          </w:p>
        </w:tc>
        <w:tc>
          <w:tcPr>
            <w:vAlign w:val="center"/>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16.640.000</w:t>
            </w:r>
          </w:p>
        </w:tc>
      </w:tr>
      <w:tr>
        <w:trPr>
          <w:cantSplit w:val="0"/>
          <w:trHeight w:val="383" w:hRule="atLeast"/>
          <w:tblHeader w:val="0"/>
        </w:trPr>
        <w:tc>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w:t>
            </w:r>
          </w:p>
        </w:tc>
        <w:tc>
          <w:tcPr>
            <w:vAlign w:val="center"/>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Văn Tuấn</w:t>
            </w:r>
          </w:p>
        </w:tc>
        <w:tc>
          <w:tcPr>
            <w:vAlign w:val="cente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16.640.000</w:t>
            </w:r>
          </w:p>
        </w:tc>
      </w:tr>
      <w:tr>
        <w:trPr>
          <w:cantSplit w:val="0"/>
          <w:trHeight w:val="393" w:hRule="atLeast"/>
          <w:tblHeader w:val="0"/>
        </w:trPr>
        <w:tc>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w:t>
            </w:r>
          </w:p>
        </w:tc>
        <w:tc>
          <w:tcPr>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Quang Giang</w:t>
            </w:r>
          </w:p>
        </w:tc>
        <w:tc>
          <w:tcPr>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16.640.000</w:t>
            </w:r>
          </w:p>
        </w:tc>
      </w:tr>
      <w:tr>
        <w:trPr>
          <w:cantSplit w:val="0"/>
          <w:trHeight w:val="383" w:hRule="atLeast"/>
          <w:tblHeader w:val="0"/>
        </w:trPr>
        <w:tc>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w:t>
            </w:r>
          </w:p>
        </w:tc>
        <w:tc>
          <w:tcPr>
            <w:vAlign w:val="center"/>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Lã Thị Mai Liên</w:t>
            </w:r>
          </w:p>
        </w:tc>
        <w:tc>
          <w:tcPr>
            <w:vAlign w:val="center"/>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24.960.000</w:t>
            </w:r>
          </w:p>
        </w:tc>
      </w:tr>
      <w:tr>
        <w:trPr>
          <w:cantSplit w:val="0"/>
          <w:trHeight w:val="383" w:hRule="atLeast"/>
          <w:tblHeader w:val="0"/>
        </w:trPr>
        <w:tc>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w:t>
            </w:r>
          </w:p>
        </w:tc>
        <w:tc>
          <w:tcPr>
            <w:vAlign w:val="center"/>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Lê Thị Hoài Anh</w:t>
            </w:r>
          </w:p>
        </w:tc>
        <w:tc>
          <w:tcPr>
            <w:vAlign w:val="center"/>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24.960.000</w:t>
            </w:r>
          </w:p>
        </w:tc>
      </w:tr>
      <w:tr>
        <w:trPr>
          <w:cantSplit w:val="0"/>
          <w:trHeight w:val="383" w:hRule="atLeast"/>
          <w:tblHeader w:val="0"/>
        </w:trPr>
        <w:tc>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7</w:t>
            </w:r>
          </w:p>
        </w:tc>
        <w:tc>
          <w:tcPr>
            <w:vAlign w:val="center"/>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Thị Quy</w:t>
            </w:r>
          </w:p>
        </w:tc>
        <w:tc>
          <w:tcPr>
            <w:vAlign w:val="center"/>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8.320.000</w:t>
            </w:r>
          </w:p>
        </w:tc>
      </w:tr>
      <w:tr>
        <w:trPr>
          <w:cantSplit w:val="0"/>
          <w:trHeight w:val="383" w:hRule="atLeast"/>
          <w:tblHeader w:val="0"/>
        </w:trPr>
        <w:tc>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8</w:t>
            </w:r>
          </w:p>
        </w:tc>
        <w:tc>
          <w:tcPr>
            <w:vAlign w:val="center"/>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Thị Vinh</w:t>
            </w:r>
          </w:p>
        </w:tc>
        <w:tc>
          <w:tcPr>
            <w:vAlign w:val="center"/>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8.320.000</w:t>
            </w:r>
          </w:p>
        </w:tc>
      </w:tr>
      <w:tr>
        <w:trPr>
          <w:cantSplit w:val="0"/>
          <w:trHeight w:val="383" w:hRule="atLeast"/>
          <w:tblHeader w:val="0"/>
        </w:trPr>
        <w:tc>
          <w:tcPr>
            <w:gridSpan w:val="3"/>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Supervisory Board:</w:t>
            </w:r>
          </w:p>
        </w:tc>
      </w:tr>
      <w:tr>
        <w:trPr>
          <w:cantSplit w:val="0"/>
          <w:trHeight w:val="383" w:hRule="atLeast"/>
          <w:tblHeader w:val="0"/>
        </w:trPr>
        <w:tc>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w:t>
            </w:r>
          </w:p>
        </w:tc>
        <w:tc>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Thị Lan Hương</w:t>
            </w:r>
          </w:p>
        </w:tc>
        <w:tc>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16.640.000</w:t>
            </w:r>
            <w:r w:rsidDel="00000000" w:rsidR="00000000" w:rsidRPr="00000000">
              <w:rPr>
                <w:rtl w:val="0"/>
              </w:rPr>
            </w:r>
          </w:p>
        </w:tc>
      </w:tr>
      <w:tr>
        <w:trPr>
          <w:cantSplit w:val="0"/>
          <w:trHeight w:val="383" w:hRule="atLeast"/>
          <w:tblHeader w:val="0"/>
        </w:trPr>
        <w:tc>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w:t>
            </w:r>
          </w:p>
        </w:tc>
        <w:tc>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Thị Minh</w:t>
            </w:r>
          </w:p>
        </w:tc>
        <w:tc>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20.800.000</w:t>
            </w:r>
            <w:r w:rsidDel="00000000" w:rsidR="00000000" w:rsidRPr="00000000">
              <w:rPr>
                <w:rtl w:val="0"/>
              </w:rPr>
            </w:r>
          </w:p>
        </w:tc>
      </w:tr>
      <w:tr>
        <w:trPr>
          <w:cantSplit w:val="0"/>
          <w:trHeight w:val="383" w:hRule="atLeast"/>
          <w:tblHeader w:val="0"/>
        </w:trPr>
        <w:tc>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w:t>
            </w:r>
          </w:p>
        </w:tc>
        <w:tc>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Thị Như Thùy</w:t>
            </w:r>
          </w:p>
        </w:tc>
        <w:tc>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righ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12.480.000</w:t>
            </w:r>
            <w:r w:rsidDel="00000000" w:rsidR="00000000" w:rsidRPr="00000000">
              <w:rPr>
                <w:rtl w:val="0"/>
              </w:rPr>
            </w:r>
          </w:p>
        </w:tc>
      </w:tr>
    </w:tbl>
    <w:p w:rsidR="00000000" w:rsidDel="00000000" w:rsidP="00000000" w:rsidRDefault="00000000" w:rsidRPr="00000000" w14:paraId="00000168">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spacing w:after="0" w:before="0" w:line="288" w:lineRule="auto"/>
        <w:ind w:left="1287" w:right="0" w:hanging="72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Amendment of the Company Charter</w:t>
      </w:r>
      <w:r w:rsidDel="00000000" w:rsidR="00000000" w:rsidRPr="00000000">
        <w:rPr>
          <w:rtl w:val="0"/>
        </w:rPr>
      </w:r>
    </w:p>
    <w:p w:rsidR="00000000" w:rsidDel="00000000" w:rsidP="00000000" w:rsidRDefault="00000000" w:rsidRPr="00000000" w14:paraId="00000169">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Based on Resolution No. 01/NQ-ĐHĐCĐ approved at the 2024 Annual General Meeting of Shareholders on March 28, 2023, the Board of Directors directed the revision of the Company’s Charter in accordance with applicable regulations. Details can be found in Clause 1, Article 4, Section III.</w:t>
      </w:r>
    </w:p>
    <w:p w:rsidR="00000000" w:rsidDel="00000000" w:rsidP="00000000" w:rsidRDefault="00000000" w:rsidRPr="00000000" w14:paraId="0000016A">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spacing w:after="0" w:before="0" w:line="288" w:lineRule="auto"/>
        <w:ind w:left="1287" w:right="0" w:hanging="72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Appointment of the Auditing Firm for 2024</w:t>
      </w:r>
      <w:r w:rsidDel="00000000" w:rsidR="00000000" w:rsidRPr="00000000">
        <w:rPr>
          <w:rtl w:val="0"/>
        </w:rPr>
      </w:r>
    </w:p>
    <w:p w:rsidR="00000000" w:rsidDel="00000000" w:rsidP="00000000" w:rsidRDefault="00000000" w:rsidRPr="00000000" w14:paraId="0000016B">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In 2024, Nhan Tam Viet Auditing Co., Ltd. continued to be appointed to audit and review the Company's financial statements. The audit and semi-annual/year-end reviews were conducted professionally and in compliance with legal regulations, accurately reflecting the Company’s financial position.</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567"/>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3. Periodic BOD Meetings in 2024</w:t>
      </w:r>
    </w:p>
    <w:p w:rsidR="00000000" w:rsidDel="00000000" w:rsidP="00000000" w:rsidRDefault="00000000" w:rsidRPr="00000000" w14:paraId="0000016D">
      <w:pPr>
        <w:widowControl w:val="0"/>
        <w:spacing w:line="288"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3.1. Organization and Operation of the BOD</w:t>
      </w:r>
    </w:p>
    <w:p w:rsidR="00000000" w:rsidDel="00000000" w:rsidP="00000000" w:rsidRDefault="00000000" w:rsidRPr="00000000" w14:paraId="0000016E">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In 2024, the BOD held 9 meetings and issued resolutions in accordance with proper procedures and in compliance with both the law and the Company’s Charter.</w:t>
      </w:r>
    </w:p>
    <w:p w:rsidR="00000000" w:rsidDel="00000000" w:rsidP="00000000" w:rsidRDefault="00000000" w:rsidRPr="00000000" w14:paraId="0000016F">
      <w:pPr>
        <w:widowControl w:val="0"/>
        <w:tabs>
          <w:tab w:val="left" w:leader="none" w:pos="567"/>
        </w:tabs>
        <w:spacing w:line="288"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3.2. Evaluation of BOD Members' Performance</w:t>
      </w:r>
    </w:p>
    <w:p w:rsidR="00000000" w:rsidDel="00000000" w:rsidP="00000000" w:rsidRDefault="00000000" w:rsidRPr="00000000" w14:paraId="00000170">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Throughout 2024, the BOD held meetings in accordance with the Company’s internal rules. The Supervisory Board was invited to attend all meetings. Minutes of meetings were prepared with full content and valid signatures per regulations.</w:t>
      </w:r>
    </w:p>
    <w:p w:rsidR="00000000" w:rsidDel="00000000" w:rsidP="00000000" w:rsidRDefault="00000000" w:rsidRPr="00000000" w14:paraId="00000171">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All BOD members effectively fulfilled their assigned responsibilities, enhancing governance and management to achieve the set targets and operational efficiency.</w:t>
      </w:r>
    </w:p>
    <w:p w:rsidR="00000000" w:rsidDel="00000000" w:rsidP="00000000" w:rsidRDefault="00000000" w:rsidRPr="00000000" w14:paraId="00000172">
      <w:pPr>
        <w:widowControl w:val="0"/>
        <w:spacing w:after="0" w:line="288"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3.3.  Supervisory Role of the BOD over the Executive Board</w:t>
      </w:r>
    </w:p>
    <w:p w:rsidR="00000000" w:rsidDel="00000000" w:rsidP="00000000" w:rsidRDefault="00000000" w:rsidRPr="00000000" w14:paraId="00000173">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In 2024, the BOD demonstrated its strategic leadership and decisiveness in directing all company operations. It closely monitored the Executive Board’s performance, provided timely guidance, and ensured the efficiency and safety of business activities.</w:t>
      </w:r>
    </w:p>
    <w:p w:rsidR="00000000" w:rsidDel="00000000" w:rsidP="00000000" w:rsidRDefault="00000000" w:rsidRPr="00000000" w14:paraId="00000174">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BOD kept track of market conditions, issued resolutions and decisions to direct and supervise the Executive Board in implementing business, investment, and management strategies in accordance with real-time company needs.</w:t>
      </w:r>
    </w:p>
    <w:p w:rsidR="00000000" w:rsidDel="00000000" w:rsidP="00000000" w:rsidRDefault="00000000" w:rsidRPr="00000000" w14:paraId="00000175">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Executive Board maintained regular communications, submitted periodic business reports and forward-looking plans to the BOD for timely feedback and direction.</w:t>
      </w:r>
    </w:p>
    <w:p w:rsidR="00000000" w:rsidDel="00000000" w:rsidP="00000000" w:rsidRDefault="00000000" w:rsidRPr="00000000" w14:paraId="00000176">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88" w:lineRule="auto"/>
        <w:ind w:left="927" w:right="0" w:hanging="36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Disclosure of Related Party Transactions</w:t>
      </w:r>
    </w:p>
    <w:p w:rsidR="00000000" w:rsidDel="00000000" w:rsidP="00000000" w:rsidRDefault="00000000" w:rsidRPr="00000000" w14:paraId="00000177">
      <w:pPr>
        <w:widowControl w:val="0"/>
        <w:spacing w:line="288"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All transactions with related parties were carried out in strict compliance with current laws and the Company’s Charter.</w:t>
      </w:r>
    </w:p>
    <w:p w:rsidR="00000000" w:rsidDel="00000000" w:rsidP="00000000" w:rsidRDefault="00000000" w:rsidRPr="00000000" w14:paraId="00000178">
      <w:pPr>
        <w:widowControl w:val="0"/>
        <w:tabs>
          <w:tab w:val="left" w:leader="none" w:pos="1134"/>
        </w:tabs>
        <w:spacing w:after="120" w:before="120" w:line="300"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PART II. ORIENTATIONS AND OPERATIONAL PLAN FOR 2025</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0" w:before="0" w:line="300" w:lineRule="auto"/>
        <w:ind w:left="567" w:right="0" w:firstLine="0"/>
        <w:jc w:val="both"/>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I. Operational Plan of the BOD for 2025</w:t>
      </w:r>
    </w:p>
    <w:p w:rsidR="00000000" w:rsidDel="00000000" w:rsidP="00000000" w:rsidRDefault="00000000" w:rsidRPr="00000000" w14:paraId="0000017A">
      <w:pPr>
        <w:widowControl w:val="0"/>
        <w:spacing w:after="0" w:line="288" w:lineRule="auto"/>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Anticipating continued political and economic instability globally and domestically in 2025—especially in the retail market, which is the Company’s core business—the BOD proposes the following key objectives and solutions:</w:t>
      </w:r>
    </w:p>
    <w:p w:rsidR="00000000" w:rsidDel="00000000" w:rsidP="00000000" w:rsidRDefault="00000000" w:rsidRPr="00000000" w14:paraId="0000017B">
      <w:pPr>
        <w:widowControl w:val="0"/>
        <w:numPr>
          <w:ilvl w:val="0"/>
          <w:numId w:val="10"/>
        </w:numPr>
        <w:spacing w:after="0" w:line="288" w:lineRule="auto"/>
        <w:ind w:left="720" w:hanging="360"/>
        <w:jc w:val="both"/>
        <w:rPr/>
      </w:pPr>
      <w:r w:rsidDel="00000000" w:rsidR="00000000" w:rsidRPr="00000000">
        <w:rPr>
          <w:rFonts w:ascii="Times New Roman" w:cs="Times New Roman" w:eastAsia="Times New Roman" w:hAnsi="Times New Roman"/>
          <w:sz w:val="26"/>
          <w:szCs w:val="26"/>
          <w:rtl w:val="0"/>
        </w:rPr>
        <w:t xml:space="preserve">Focus on retail and service activities;</w:t>
      </w:r>
    </w:p>
    <w:p w:rsidR="00000000" w:rsidDel="00000000" w:rsidP="00000000" w:rsidRDefault="00000000" w:rsidRPr="00000000" w14:paraId="0000017C">
      <w:pPr>
        <w:widowControl w:val="0"/>
        <w:numPr>
          <w:ilvl w:val="0"/>
          <w:numId w:val="10"/>
        </w:numPr>
        <w:spacing w:after="0" w:line="288" w:lineRule="auto"/>
        <w:ind w:left="720" w:hanging="360"/>
        <w:jc w:val="both"/>
        <w:rPr/>
      </w:pPr>
      <w:r w:rsidDel="00000000" w:rsidR="00000000" w:rsidRPr="00000000">
        <w:rPr>
          <w:rFonts w:ascii="Times New Roman" w:cs="Times New Roman" w:eastAsia="Times New Roman" w:hAnsi="Times New Roman"/>
          <w:sz w:val="26"/>
          <w:szCs w:val="26"/>
          <w:rtl w:val="0"/>
        </w:rPr>
        <w:t xml:space="preserve">Preserve and enhance the Company's reputation in the market;</w:t>
      </w:r>
    </w:p>
    <w:p w:rsidR="00000000" w:rsidDel="00000000" w:rsidP="00000000" w:rsidRDefault="00000000" w:rsidRPr="00000000" w14:paraId="0000017D">
      <w:pPr>
        <w:widowControl w:val="0"/>
        <w:numPr>
          <w:ilvl w:val="0"/>
          <w:numId w:val="10"/>
        </w:numPr>
        <w:spacing w:after="0" w:line="288" w:lineRule="auto"/>
        <w:ind w:left="720" w:hanging="360"/>
        <w:jc w:val="both"/>
        <w:rPr/>
      </w:pPr>
      <w:r w:rsidDel="00000000" w:rsidR="00000000" w:rsidRPr="00000000">
        <w:rPr>
          <w:rFonts w:ascii="Times New Roman" w:cs="Times New Roman" w:eastAsia="Times New Roman" w:hAnsi="Times New Roman"/>
          <w:sz w:val="26"/>
          <w:szCs w:val="26"/>
          <w:rtl w:val="0"/>
        </w:rPr>
        <w:t xml:space="preserve">Finalize legal procedures for the Thai Hung Financial–Commercial–Hotel Complex project;</w:t>
      </w:r>
    </w:p>
    <w:p w:rsidR="00000000" w:rsidDel="00000000" w:rsidP="00000000" w:rsidRDefault="00000000" w:rsidRPr="00000000" w14:paraId="0000017E">
      <w:pPr>
        <w:widowControl w:val="0"/>
        <w:numPr>
          <w:ilvl w:val="0"/>
          <w:numId w:val="10"/>
        </w:numPr>
        <w:spacing w:after="0" w:line="288" w:lineRule="auto"/>
        <w:ind w:left="720" w:hanging="360"/>
        <w:jc w:val="both"/>
        <w:rPr/>
      </w:pPr>
      <w:r w:rsidDel="00000000" w:rsidR="00000000" w:rsidRPr="00000000">
        <w:rPr>
          <w:rFonts w:ascii="Times New Roman" w:cs="Times New Roman" w:eastAsia="Times New Roman" w:hAnsi="Times New Roman"/>
          <w:sz w:val="26"/>
          <w:szCs w:val="26"/>
          <w:rtl w:val="0"/>
        </w:rPr>
        <w:t xml:space="preserve">To acquire the transfer of a portion of the project “Thai Hung Eco City New Urban Area (a complex of commercial, service, educational and residential facilities in Gia Sang)” from Thai Hung Trading Joint Stock Company (Enterprise Registration Number 4600310787, initially issued by the Business Registration Office – Department of Planning and Investment of Thai Nguyen Province on March 28, 2003, and amended for the 23rd time on June 24, 2024), specifically related to “Iris Kindergarten” and “Iris Primary School, Secondary School, and High School” (hereinafter referred to as “Iris School”).</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120" w:before="120" w:line="300" w:lineRule="auto"/>
        <w:ind w:left="567"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 Key Business Targets for 2025</w:t>
      </w:r>
      <w:r w:rsidDel="00000000" w:rsidR="00000000" w:rsidRPr="00000000">
        <w:rPr>
          <w:rtl w:val="0"/>
        </w:rPr>
      </w:r>
    </w:p>
    <w:p w:rsidR="00000000" w:rsidDel="00000000" w:rsidP="00000000" w:rsidRDefault="00000000" w:rsidRPr="00000000" w14:paraId="00000180">
      <w:pPr>
        <w:widowControl w:val="0"/>
        <w:tabs>
          <w:tab w:val="left" w:leader="none" w:pos="567"/>
        </w:tabs>
        <w:spacing w:after="0" w:line="30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ab/>
        <w:t xml:space="preserve">Based on available resources, the BOD proposes the following 2025 business plan for approval:</w:t>
      </w:r>
    </w:p>
    <w:p w:rsidR="00000000" w:rsidDel="00000000" w:rsidP="00000000" w:rsidRDefault="00000000" w:rsidRPr="00000000" w14:paraId="00000181">
      <w:pPr>
        <w:widowControl w:val="0"/>
        <w:tabs>
          <w:tab w:val="left" w:leader="none" w:pos="567"/>
        </w:tabs>
        <w:spacing w:after="0" w:line="300" w:lineRule="auto"/>
        <w:jc w:val="both"/>
        <w:rPr>
          <w:rFonts w:ascii="Times New Roman" w:cs="Times New Roman" w:eastAsia="Times New Roman" w:hAnsi="Times New Roman"/>
          <w:i w:val="1"/>
          <w:sz w:val="26"/>
          <w:szCs w:val="26"/>
        </w:rPr>
      </w:pPr>
      <w:r w:rsidDel="00000000" w:rsidR="00000000" w:rsidRPr="00000000">
        <w:rPr>
          <w:rFonts w:ascii="Times New Roman" w:cs="Times New Roman" w:eastAsia="Times New Roman" w:hAnsi="Times New Roman"/>
          <w:sz w:val="26"/>
          <w:szCs w:val="26"/>
          <w:rtl w:val="0"/>
        </w:rPr>
        <w:tab/>
        <w:tab/>
        <w:tab/>
        <w:tab/>
        <w:tab/>
        <w:tab/>
        <w:tab/>
        <w:tab/>
        <w:tab/>
        <w:tab/>
        <w:tab/>
        <w:t xml:space="preserve">     </w:t>
      </w:r>
      <w:r w:rsidDel="00000000" w:rsidR="00000000" w:rsidRPr="00000000">
        <w:rPr>
          <w:rFonts w:ascii="Times New Roman" w:cs="Times New Roman" w:eastAsia="Times New Roman" w:hAnsi="Times New Roman"/>
          <w:i w:val="1"/>
          <w:sz w:val="26"/>
          <w:szCs w:val="26"/>
          <w:rtl w:val="0"/>
        </w:rPr>
        <w:t xml:space="preserve">Đơn vị: đồng</w:t>
      </w:r>
    </w:p>
    <w:tbl>
      <w:tblPr>
        <w:tblStyle w:val="Table15"/>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2551"/>
        <w:gridCol w:w="2410"/>
        <w:gridCol w:w="1412"/>
        <w:tblGridChange w:id="0">
          <w:tblGrid>
            <w:gridCol w:w="2689"/>
            <w:gridCol w:w="2551"/>
            <w:gridCol w:w="2410"/>
            <w:gridCol w:w="1412"/>
          </w:tblGrid>
        </w:tblGridChange>
      </w:tblGrid>
      <w:tr>
        <w:trPr>
          <w:cantSplit w:val="0"/>
          <w:tblHeader w:val="0"/>
        </w:trPr>
        <w:tc>
          <w:tcPr/>
          <w:p w:rsidR="00000000" w:rsidDel="00000000" w:rsidP="00000000" w:rsidRDefault="00000000" w:rsidRPr="00000000" w14:paraId="00000182">
            <w:pPr>
              <w:widowControl w:val="0"/>
              <w:tabs>
                <w:tab w:val="left" w:leader="none" w:pos="567"/>
              </w:tabs>
              <w:spacing w:line="300"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Indicator</w:t>
            </w:r>
          </w:p>
        </w:tc>
        <w:tc>
          <w:tcPr/>
          <w:p w:rsidR="00000000" w:rsidDel="00000000" w:rsidP="00000000" w:rsidRDefault="00000000" w:rsidRPr="00000000" w14:paraId="00000183">
            <w:pPr>
              <w:widowControl w:val="0"/>
              <w:tabs>
                <w:tab w:val="left" w:leader="none" w:pos="567"/>
              </w:tabs>
              <w:spacing w:line="300"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Actual 2024</w:t>
            </w:r>
          </w:p>
        </w:tc>
        <w:tc>
          <w:tcPr/>
          <w:p w:rsidR="00000000" w:rsidDel="00000000" w:rsidP="00000000" w:rsidRDefault="00000000" w:rsidRPr="00000000" w14:paraId="00000184">
            <w:pPr>
              <w:widowControl w:val="0"/>
              <w:tabs>
                <w:tab w:val="left" w:leader="none" w:pos="567"/>
              </w:tabs>
              <w:spacing w:line="300"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Plan 2025</w:t>
            </w:r>
          </w:p>
        </w:tc>
        <w:tc>
          <w:tcPr/>
          <w:p w:rsidR="00000000" w:rsidDel="00000000" w:rsidP="00000000" w:rsidRDefault="00000000" w:rsidRPr="00000000" w14:paraId="00000185">
            <w:pPr>
              <w:widowControl w:val="0"/>
              <w:tabs>
                <w:tab w:val="left" w:leader="none" w:pos="567"/>
              </w:tabs>
              <w:spacing w:line="300" w:lineRule="auto"/>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Growth Rate (+/-)</w:t>
            </w:r>
          </w:p>
        </w:tc>
      </w:tr>
      <w:tr>
        <w:trPr>
          <w:cantSplit w:val="0"/>
          <w:tblHeader w:val="0"/>
        </w:trPr>
        <w:tc>
          <w:tcPr/>
          <w:p w:rsidR="00000000" w:rsidDel="00000000" w:rsidP="00000000" w:rsidRDefault="00000000" w:rsidRPr="00000000" w14:paraId="00000186">
            <w:pPr>
              <w:widowControl w:val="0"/>
              <w:tabs>
                <w:tab w:val="left" w:leader="none" w:pos="567"/>
              </w:tabs>
              <w:spacing w:line="30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Net Revenue</w:t>
            </w:r>
          </w:p>
        </w:tc>
        <w:tc>
          <w:tcPr>
            <w:vAlign w:val="center"/>
          </w:tcPr>
          <w:p w:rsidR="00000000" w:rsidDel="00000000" w:rsidP="00000000" w:rsidRDefault="00000000" w:rsidRPr="00000000" w14:paraId="00000187">
            <w:pPr>
              <w:widowControl w:val="0"/>
              <w:tabs>
                <w:tab w:val="left" w:leader="none" w:pos="567"/>
              </w:tabs>
              <w:spacing w:line="300"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27.334.111.010</w:t>
            </w:r>
          </w:p>
        </w:tc>
        <w:tc>
          <w:tcPr/>
          <w:p w:rsidR="00000000" w:rsidDel="00000000" w:rsidP="00000000" w:rsidRDefault="00000000" w:rsidRPr="00000000" w14:paraId="00000188">
            <w:pPr>
              <w:widowControl w:val="0"/>
              <w:tabs>
                <w:tab w:val="left" w:leader="none" w:pos="567"/>
              </w:tabs>
              <w:spacing w:line="300" w:lineRule="auto"/>
              <w:jc w:val="right"/>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35.000.000.000</w:t>
            </w:r>
            <w:r w:rsidDel="00000000" w:rsidR="00000000" w:rsidRPr="00000000">
              <w:rPr>
                <w:rtl w:val="0"/>
              </w:rPr>
            </w:r>
          </w:p>
        </w:tc>
        <w:tc>
          <w:tcPr/>
          <w:p w:rsidR="00000000" w:rsidDel="00000000" w:rsidP="00000000" w:rsidRDefault="00000000" w:rsidRPr="00000000" w14:paraId="00000189">
            <w:pPr>
              <w:widowControl w:val="0"/>
              <w:tabs>
                <w:tab w:val="left" w:leader="none" w:pos="567"/>
              </w:tabs>
              <w:spacing w:line="300" w:lineRule="auto"/>
              <w:jc w:val="both"/>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28,05%</w:t>
            </w:r>
            <w:r w:rsidDel="00000000" w:rsidR="00000000" w:rsidRPr="00000000">
              <w:rPr>
                <w:rtl w:val="0"/>
              </w:rPr>
            </w:r>
          </w:p>
        </w:tc>
      </w:tr>
      <w:tr>
        <w:trPr>
          <w:cantSplit w:val="0"/>
          <w:tblHeader w:val="0"/>
        </w:trPr>
        <w:tc>
          <w:tcPr/>
          <w:p w:rsidR="00000000" w:rsidDel="00000000" w:rsidP="00000000" w:rsidRDefault="00000000" w:rsidRPr="00000000" w14:paraId="0000018A">
            <w:pPr>
              <w:widowControl w:val="0"/>
              <w:tabs>
                <w:tab w:val="left" w:leader="none" w:pos="567"/>
              </w:tabs>
              <w:spacing w:line="30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Profit before Tax</w:t>
            </w:r>
          </w:p>
        </w:tc>
        <w:tc>
          <w:tcPr>
            <w:vAlign w:val="center"/>
          </w:tcPr>
          <w:p w:rsidR="00000000" w:rsidDel="00000000" w:rsidP="00000000" w:rsidRDefault="00000000" w:rsidRPr="00000000" w14:paraId="0000018B">
            <w:pPr>
              <w:widowControl w:val="0"/>
              <w:tabs>
                <w:tab w:val="left" w:leader="none" w:pos="567"/>
              </w:tabs>
              <w:spacing w:line="300"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1.279.870.211</w:t>
            </w:r>
          </w:p>
        </w:tc>
        <w:tc>
          <w:tcPr/>
          <w:p w:rsidR="00000000" w:rsidDel="00000000" w:rsidP="00000000" w:rsidRDefault="00000000" w:rsidRPr="00000000" w14:paraId="0000018C">
            <w:pPr>
              <w:widowControl w:val="0"/>
              <w:tabs>
                <w:tab w:val="left" w:leader="none" w:pos="567"/>
              </w:tabs>
              <w:spacing w:line="300" w:lineRule="auto"/>
              <w:jc w:val="right"/>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1.600.000.000</w:t>
            </w:r>
            <w:r w:rsidDel="00000000" w:rsidR="00000000" w:rsidRPr="00000000">
              <w:rPr>
                <w:rtl w:val="0"/>
              </w:rPr>
            </w:r>
          </w:p>
        </w:tc>
        <w:tc>
          <w:tcPr/>
          <w:p w:rsidR="00000000" w:rsidDel="00000000" w:rsidP="00000000" w:rsidRDefault="00000000" w:rsidRPr="00000000" w14:paraId="0000018D">
            <w:pPr>
              <w:widowControl w:val="0"/>
              <w:tabs>
                <w:tab w:val="left" w:leader="none" w:pos="567"/>
              </w:tabs>
              <w:spacing w:line="300" w:lineRule="auto"/>
              <w:jc w:val="both"/>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25,01%</w:t>
            </w:r>
            <w:r w:rsidDel="00000000" w:rsidR="00000000" w:rsidRPr="00000000">
              <w:rPr>
                <w:rtl w:val="0"/>
              </w:rPr>
            </w:r>
          </w:p>
        </w:tc>
      </w:tr>
      <w:tr>
        <w:trPr>
          <w:cantSplit w:val="0"/>
          <w:tblHeader w:val="0"/>
        </w:trPr>
        <w:tc>
          <w:tcPr/>
          <w:p w:rsidR="00000000" w:rsidDel="00000000" w:rsidP="00000000" w:rsidRDefault="00000000" w:rsidRPr="00000000" w14:paraId="0000018E">
            <w:pPr>
              <w:widowControl w:val="0"/>
              <w:tabs>
                <w:tab w:val="left" w:leader="none" w:pos="567"/>
              </w:tabs>
              <w:spacing w:line="30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Profit after Tax</w:t>
            </w:r>
          </w:p>
        </w:tc>
        <w:tc>
          <w:tcPr>
            <w:vAlign w:val="center"/>
          </w:tcPr>
          <w:p w:rsidR="00000000" w:rsidDel="00000000" w:rsidP="00000000" w:rsidRDefault="00000000" w:rsidRPr="00000000" w14:paraId="0000018F">
            <w:pPr>
              <w:widowControl w:val="0"/>
              <w:tabs>
                <w:tab w:val="left" w:leader="none" w:pos="567"/>
              </w:tabs>
              <w:spacing w:line="300" w:lineRule="auto"/>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1.279.870.211</w:t>
            </w:r>
          </w:p>
        </w:tc>
        <w:tc>
          <w:tcPr/>
          <w:p w:rsidR="00000000" w:rsidDel="00000000" w:rsidP="00000000" w:rsidRDefault="00000000" w:rsidRPr="00000000" w14:paraId="00000190">
            <w:pPr>
              <w:widowControl w:val="0"/>
              <w:tabs>
                <w:tab w:val="left" w:leader="none" w:pos="567"/>
              </w:tabs>
              <w:spacing w:line="300" w:lineRule="auto"/>
              <w:jc w:val="right"/>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1.280.000.000</w:t>
            </w:r>
            <w:r w:rsidDel="00000000" w:rsidR="00000000" w:rsidRPr="00000000">
              <w:rPr>
                <w:rtl w:val="0"/>
              </w:rPr>
            </w:r>
          </w:p>
        </w:tc>
        <w:tc>
          <w:tcPr/>
          <w:p w:rsidR="00000000" w:rsidDel="00000000" w:rsidP="00000000" w:rsidRDefault="00000000" w:rsidRPr="00000000" w14:paraId="00000191">
            <w:pPr>
              <w:widowControl w:val="0"/>
              <w:tabs>
                <w:tab w:val="left" w:leader="none" w:pos="567"/>
              </w:tabs>
              <w:spacing w:line="300" w:lineRule="auto"/>
              <w:jc w:val="both"/>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0,01%</w:t>
            </w:r>
            <w:r w:rsidDel="00000000" w:rsidR="00000000" w:rsidRPr="00000000">
              <w:rPr>
                <w:rtl w:val="0"/>
              </w:rPr>
            </w:r>
          </w:p>
        </w:tc>
      </w:tr>
    </w:tbl>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120" w:before="120" w:line="300"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At the 2025 AGM, the BOD submitted and was approved not to distribute dividends for 2024. All undistributed after-tax profits (after deductions for funds) will be reinvested in business operations to preserve and grow equity capital.</w:t>
      </w:r>
    </w:p>
    <w:p w:rsidR="00000000" w:rsidDel="00000000" w:rsidP="00000000" w:rsidRDefault="00000000" w:rsidRPr="00000000" w14:paraId="00000193">
      <w:pPr>
        <w:widowControl w:val="0"/>
        <w:tabs>
          <w:tab w:val="left" w:leader="none" w:pos="567"/>
        </w:tabs>
        <w:spacing w:after="120" w:before="120" w:line="300" w:lineRule="auto"/>
        <w:ind w:left="567" w:firstLine="0"/>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2. Investment Activities</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120" w:before="120" w:line="300"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On going Projects:</w:t>
      </w:r>
    </w:p>
    <w:p w:rsidR="00000000" w:rsidDel="00000000" w:rsidP="00000000" w:rsidRDefault="00000000" w:rsidRPr="00000000" w14:paraId="00000195">
      <w:pPr>
        <w:widowControl w:val="0"/>
        <w:tabs>
          <w:tab w:val="left" w:leader="none" w:pos="567"/>
        </w:tabs>
        <w:spacing w:after="120" w:before="120" w:line="30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 Thai Hung Complex Tower</w:t>
      </w:r>
      <w:r w:rsidDel="00000000" w:rsidR="00000000" w:rsidRPr="00000000">
        <w:rPr>
          <w:rFonts w:ascii="Times New Roman" w:cs="Times New Roman" w:eastAsia="Times New Roman" w:hAnsi="Times New Roman"/>
          <w:sz w:val="26"/>
          <w:szCs w:val="26"/>
          <w:rtl w:val="0"/>
        </w:rPr>
        <w:t xml:space="preserve"> – Headquarters Construction, Financial – Commercial – Service – Hotel Complex: The BOD will continue to closely monitor market trends and project realities. Specific deployment options will be selected, ensuring the following criteria:</w:t>
      </w:r>
    </w:p>
    <w:p w:rsidR="00000000" w:rsidDel="00000000" w:rsidP="00000000" w:rsidRDefault="00000000" w:rsidRPr="00000000" w14:paraId="00000196">
      <w:pPr>
        <w:widowControl w:val="0"/>
        <w:numPr>
          <w:ilvl w:val="0"/>
          <w:numId w:val="2"/>
        </w:numPr>
        <w:tabs>
          <w:tab w:val="left" w:leader="none" w:pos="567"/>
        </w:tabs>
        <w:spacing w:after="120" w:before="120" w:line="300" w:lineRule="auto"/>
        <w:ind w:left="720" w:hanging="360"/>
        <w:jc w:val="both"/>
        <w:rPr/>
      </w:pPr>
      <w:r w:rsidDel="00000000" w:rsidR="00000000" w:rsidRPr="00000000">
        <w:rPr>
          <w:rFonts w:ascii="Times New Roman" w:cs="Times New Roman" w:eastAsia="Times New Roman" w:hAnsi="Times New Roman"/>
          <w:sz w:val="26"/>
          <w:szCs w:val="26"/>
          <w:rtl w:val="0"/>
        </w:rPr>
        <w:t xml:space="preserve">Legal certainty regarding asset ownership;</w:t>
      </w:r>
    </w:p>
    <w:p w:rsidR="00000000" w:rsidDel="00000000" w:rsidP="00000000" w:rsidRDefault="00000000" w:rsidRPr="00000000" w14:paraId="00000197">
      <w:pPr>
        <w:widowControl w:val="0"/>
        <w:numPr>
          <w:ilvl w:val="0"/>
          <w:numId w:val="2"/>
        </w:numPr>
        <w:tabs>
          <w:tab w:val="left" w:leader="none" w:pos="567"/>
        </w:tabs>
        <w:spacing w:after="120" w:before="120" w:line="300" w:lineRule="auto"/>
        <w:ind w:left="720" w:hanging="360"/>
        <w:jc w:val="both"/>
        <w:rPr/>
      </w:pPr>
      <w:r w:rsidDel="00000000" w:rsidR="00000000" w:rsidRPr="00000000">
        <w:rPr>
          <w:rFonts w:ascii="Times New Roman" w:cs="Times New Roman" w:eastAsia="Times New Roman" w:hAnsi="Times New Roman"/>
          <w:sz w:val="26"/>
          <w:szCs w:val="26"/>
          <w:rtl w:val="0"/>
        </w:rPr>
        <w:t xml:space="preserve">Usability and exploitation value of the property;</w:t>
      </w:r>
    </w:p>
    <w:p w:rsidR="00000000" w:rsidDel="00000000" w:rsidP="00000000" w:rsidRDefault="00000000" w:rsidRPr="00000000" w14:paraId="00000198">
      <w:pPr>
        <w:widowControl w:val="0"/>
        <w:numPr>
          <w:ilvl w:val="0"/>
          <w:numId w:val="2"/>
        </w:numPr>
        <w:tabs>
          <w:tab w:val="left" w:leader="none" w:pos="567"/>
        </w:tabs>
        <w:spacing w:after="120" w:before="120" w:line="300" w:lineRule="auto"/>
        <w:ind w:left="720" w:hanging="360"/>
        <w:jc w:val="both"/>
        <w:rPr/>
      </w:pPr>
      <w:r w:rsidDel="00000000" w:rsidR="00000000" w:rsidRPr="00000000">
        <w:rPr>
          <w:rFonts w:ascii="Times New Roman" w:cs="Times New Roman" w:eastAsia="Times New Roman" w:hAnsi="Times New Roman"/>
          <w:sz w:val="26"/>
          <w:szCs w:val="26"/>
          <w:rtl w:val="0"/>
        </w:rPr>
        <w:t xml:space="preserve">Opportunities for investment, transfer, or business cooperation to generate revenue;</w:t>
      </w:r>
    </w:p>
    <w:p w:rsidR="00000000" w:rsidDel="00000000" w:rsidP="00000000" w:rsidRDefault="00000000" w:rsidRPr="00000000" w14:paraId="00000199">
      <w:pPr>
        <w:widowControl w:val="0"/>
        <w:numPr>
          <w:ilvl w:val="0"/>
          <w:numId w:val="2"/>
        </w:numPr>
        <w:tabs>
          <w:tab w:val="left" w:leader="none" w:pos="567"/>
        </w:tabs>
        <w:spacing w:after="120" w:before="120" w:line="300" w:lineRule="auto"/>
        <w:ind w:left="720" w:hanging="360"/>
        <w:jc w:val="both"/>
        <w:rPr/>
      </w:pPr>
      <w:r w:rsidDel="00000000" w:rsidR="00000000" w:rsidRPr="00000000">
        <w:rPr>
          <w:rFonts w:ascii="Times New Roman" w:cs="Times New Roman" w:eastAsia="Times New Roman" w:hAnsi="Times New Roman"/>
          <w:sz w:val="26"/>
          <w:szCs w:val="26"/>
          <w:rtl w:val="0"/>
        </w:rPr>
        <w:t xml:space="preserve">Capital prioritization for production and business activities.</w:t>
      </w:r>
    </w:p>
    <w:p w:rsidR="00000000" w:rsidDel="00000000" w:rsidP="00000000" w:rsidRDefault="00000000" w:rsidRPr="00000000" w14:paraId="0000019A">
      <w:pPr>
        <w:spacing w:after="280" w:before="280" w:lineRule="auto"/>
        <w:rPr>
          <w:rFonts w:ascii="Times New Roman" w:cs="Times New Roman" w:eastAsia="Times New Roman" w:hAnsi="Times New Roman"/>
          <w:sz w:val="24"/>
          <w:szCs w:val="24"/>
        </w:rPr>
      </w:pPr>
      <w:bookmarkStart w:colFirst="0" w:colLast="0" w:name="_duv9g63b0sv2" w:id="3"/>
      <w:bookmarkEnd w:id="3"/>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Fonts w:ascii="Times New Roman" w:cs="Times New Roman" w:eastAsia="Times New Roman" w:hAnsi="Times New Roman"/>
          <w:sz w:val="26"/>
          <w:szCs w:val="26"/>
          <w:rtl w:val="0"/>
        </w:rPr>
        <w:t xml:space="preserve">The project “Thai Hung Eco City New Urban Area (a complex of commercial, service, educational, and residential facilities in Gia Sang)” is preparing a plan to acquire the transfer of a portion of the project related to “Iris School” from Thai Hung Trading Joint Stock Company.</w:t>
      </w:r>
      <w:r w:rsidDel="00000000" w:rsidR="00000000" w:rsidRPr="00000000">
        <w:rPr>
          <w:rtl w:val="0"/>
        </w:rPr>
      </w:r>
    </w:p>
    <w:p w:rsidR="00000000" w:rsidDel="00000000" w:rsidP="00000000" w:rsidRDefault="00000000" w:rsidRPr="00000000" w14:paraId="0000019B">
      <w:pPr>
        <w:widowControl w:val="0"/>
        <w:tabs>
          <w:tab w:val="left" w:leader="none" w:pos="567"/>
        </w:tabs>
        <w:spacing w:after="120" w:before="120" w:line="30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II. Key Implementation Solutions</w:t>
      </w:r>
      <w:r w:rsidDel="00000000" w:rsidR="00000000" w:rsidRPr="00000000">
        <w:rPr>
          <w:rtl w:val="0"/>
        </w:rPr>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0" w:before="120" w:line="300"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Promote the full authority and responsibility of the Board of Directors within the legal scope, ensuring the realization of the objectives set by the General Meeting of Shareholders and protecting the rights of shareholders:</w:t>
      </w:r>
    </w:p>
    <w:p w:rsidR="00000000" w:rsidDel="00000000" w:rsidP="00000000" w:rsidRDefault="00000000" w:rsidRPr="00000000" w14:paraId="0000019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360" w:right="0" w:hanging="36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Orient the Company’s business activities, focusing on business operations and improving capital use efficiency; reduce or eliminate inefficient business areas; enhance competitiveness to meet development opportunities. Strengthen the direction and strict supervision of investment activities, receivables, and business operating costs to prevent waste.</w:t>
      </w:r>
    </w:p>
    <w:p w:rsidR="00000000" w:rsidDel="00000000" w:rsidP="00000000" w:rsidRDefault="00000000" w:rsidRPr="00000000" w14:paraId="0000019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360" w:right="0" w:hanging="36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Maintain and develop relationships with partners, customers, and credit institutions. Diversify capital mobilization sources to promptly meet the capital needs for the Company’s business and investment activities.</w:t>
      </w:r>
    </w:p>
    <w:p w:rsidR="00000000" w:rsidDel="00000000" w:rsidP="00000000" w:rsidRDefault="00000000" w:rsidRPr="00000000" w14:paraId="0000019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360" w:right="0" w:hanging="36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Continue to consolidate and restructure the Company’s business activities while constantly seeking new investment opportunities to ensure stability and sustainable development for the Company.</w:t>
      </w:r>
    </w:p>
    <w:p w:rsidR="00000000" w:rsidDel="00000000" w:rsidP="00000000" w:rsidRDefault="00000000" w:rsidRPr="00000000" w14:paraId="000001A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360" w:right="0" w:hanging="36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Continue to restructure the Company’s human resources, promote investment in people and technology, implement comprehensive digital transformation, and proactively adapt to the rapidly developing global knowledge and technology. Recruit high-level, specialized personnel, and strengthen internal training.</w:t>
      </w:r>
    </w:p>
    <w:p w:rsidR="00000000" w:rsidDel="00000000" w:rsidP="00000000" w:rsidRDefault="00000000" w:rsidRPr="00000000" w14:paraId="000001A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00" w:lineRule="auto"/>
        <w:ind w:left="360" w:right="0" w:hanging="36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Further strengthen the supervision and inspection activities of the Board of Directors within its authority over the Company’s issues, specifically in each field and business area. Continue to create favorable conditions for the Supervisory Board to conduct inspection and supervision activities based on the principle of “prevention is better than cure”, eliminating all risks from the early stages.</w:t>
      </w:r>
    </w:p>
    <w:p w:rsidR="00000000" w:rsidDel="00000000" w:rsidP="00000000" w:rsidRDefault="00000000" w:rsidRPr="00000000" w14:paraId="000001A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64" w:lineRule="auto"/>
        <w:ind w:left="426" w:right="0" w:hanging="36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Continuously build corporate culture, standardize the working environment, promote creativity and decisiveness in work. Care for, share, and protect the legitimate rights and interests of shareholders, as well as the income, benefits, and working conditions of all employees in the Company.</w:t>
      </w:r>
    </w:p>
    <w:p w:rsidR="00000000" w:rsidDel="00000000" w:rsidP="00000000" w:rsidRDefault="00000000" w:rsidRPr="00000000" w14:paraId="000001A3">
      <w:pPr>
        <w:widowControl w:val="0"/>
        <w:spacing w:after="240" w:lineRule="auto"/>
        <w:ind w:firstLine="567"/>
        <w:jc w:val="both"/>
        <w:rPr>
          <w:rFonts w:ascii="Times New Roman" w:cs="Times New Roman" w:eastAsia="Times New Roman" w:hAnsi="Times New Roman"/>
          <w:b w:val="1"/>
          <w:color w:val="000000"/>
          <w:sz w:val="26"/>
          <w:szCs w:val="26"/>
        </w:rPr>
      </w:pPr>
      <w:r w:rsidDel="00000000" w:rsidR="00000000" w:rsidRPr="00000000">
        <w:rPr>
          <w:rtl w:val="0"/>
        </w:rPr>
      </w:r>
    </w:p>
    <w:p w:rsidR="00000000" w:rsidDel="00000000" w:rsidP="00000000" w:rsidRDefault="00000000" w:rsidRPr="00000000" w14:paraId="000001A4">
      <w:pPr>
        <w:widowControl w:val="0"/>
        <w:spacing w:after="240" w:lineRule="auto"/>
        <w:ind w:firstLine="567"/>
        <w:jc w:val="both"/>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The above is the report of the Board of Directors of the Company on the performance in 2024 and the operational direction for 2025, respectfully submitted to the Annual General Meeting of Shareholders for consideration and approval.</w:t>
      </w:r>
    </w:p>
    <w:tbl>
      <w:tblPr>
        <w:tblStyle w:val="Table16"/>
        <w:tblW w:w="907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04"/>
        <w:gridCol w:w="4568"/>
        <w:tblGridChange w:id="0">
          <w:tblGrid>
            <w:gridCol w:w="4504"/>
            <w:gridCol w:w="4568"/>
          </w:tblGrid>
        </w:tblGridChange>
      </w:tblGrid>
      <w:tr>
        <w:trPr>
          <w:cantSplit w:val="0"/>
          <w:tblHeader w:val="0"/>
        </w:trPr>
        <w:tc>
          <w:tcPr/>
          <w:p w:rsidR="00000000" w:rsidDel="00000000" w:rsidP="00000000" w:rsidRDefault="00000000" w:rsidRPr="00000000" w14:paraId="000001A5">
            <w:pPr>
              <w:spacing w:line="264" w:lineRule="auto"/>
              <w:rPr>
                <w:rFonts w:ascii="Times New Roman" w:cs="Times New Roman" w:eastAsia="Times New Roman" w:hAnsi="Times New Roman"/>
                <w:b w:val="1"/>
                <w:i w:val="1"/>
                <w:sz w:val="26"/>
                <w:szCs w:val="26"/>
              </w:rPr>
            </w:pPr>
            <w:r w:rsidDel="00000000" w:rsidR="00000000" w:rsidRPr="00000000">
              <w:rPr>
                <w:rFonts w:ascii="Times New Roman" w:cs="Times New Roman" w:eastAsia="Times New Roman" w:hAnsi="Times New Roman"/>
                <w:b w:val="1"/>
                <w:i w:val="1"/>
                <w:sz w:val="26"/>
                <w:szCs w:val="26"/>
                <w:rtl w:val="0"/>
              </w:rPr>
              <w:t xml:space="preserve">Recipients:</w:t>
            </w:r>
          </w:p>
          <w:p w:rsidR="00000000" w:rsidDel="00000000" w:rsidP="00000000" w:rsidRDefault="00000000" w:rsidRPr="00000000" w14:paraId="000001A6">
            <w:pPr>
              <w:spacing w:line="264"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General Meeting of Shareholders;</w:t>
            </w:r>
          </w:p>
          <w:p w:rsidR="00000000" w:rsidDel="00000000" w:rsidP="00000000" w:rsidRDefault="00000000" w:rsidRPr="00000000" w14:paraId="000001A7">
            <w:pPr>
              <w:spacing w:line="264"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Supervisory Board;</w:t>
            </w:r>
          </w:p>
          <w:p w:rsidR="00000000" w:rsidDel="00000000" w:rsidP="00000000" w:rsidRDefault="00000000" w:rsidRPr="00000000" w14:paraId="000001A8">
            <w:pPr>
              <w:widowControl w:val="0"/>
              <w:spacing w:line="264"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Archive: Office.</w:t>
            </w:r>
          </w:p>
          <w:p w:rsidR="00000000" w:rsidDel="00000000" w:rsidP="00000000" w:rsidRDefault="00000000" w:rsidRPr="00000000" w14:paraId="000001A9">
            <w:pPr>
              <w:widowControl w:val="0"/>
              <w:spacing w:line="288" w:lineRule="auto"/>
              <w:ind w:firstLine="567"/>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1AA">
            <w:pPr>
              <w:widowControl w:val="0"/>
              <w:spacing w:line="288" w:lineRule="auto"/>
              <w:rPr>
                <w:rFonts w:ascii="Times New Roman" w:cs="Times New Roman" w:eastAsia="Times New Roman" w:hAnsi="Times New Roman"/>
                <w:sz w:val="26"/>
                <w:szCs w:val="26"/>
              </w:rPr>
            </w:pPr>
            <w:r w:rsidDel="00000000" w:rsidR="00000000" w:rsidRPr="00000000">
              <w:rPr>
                <w:rtl w:val="0"/>
              </w:rPr>
            </w:r>
          </w:p>
        </w:tc>
        <w:tc>
          <w:tcPr/>
          <w:p w:rsidR="00000000" w:rsidDel="00000000" w:rsidP="00000000" w:rsidRDefault="00000000" w:rsidRPr="00000000" w14:paraId="000001AB">
            <w:pPr>
              <w:widowControl w:val="0"/>
              <w:spacing w:line="288" w:lineRule="auto"/>
              <w:ind w:firstLine="567"/>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ON BEHALF OF THE BOARD OF DIRECTORS</w:t>
            </w:r>
          </w:p>
          <w:p w:rsidR="00000000" w:rsidDel="00000000" w:rsidP="00000000" w:rsidRDefault="00000000" w:rsidRPr="00000000" w14:paraId="000001AC">
            <w:pPr>
              <w:widowControl w:val="0"/>
              <w:spacing w:line="288" w:lineRule="auto"/>
              <w:ind w:firstLine="567"/>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CHAIRMAN</w:t>
            </w:r>
          </w:p>
          <w:p w:rsidR="00000000" w:rsidDel="00000000" w:rsidP="00000000" w:rsidRDefault="00000000" w:rsidRPr="00000000" w14:paraId="000001AD">
            <w:pPr>
              <w:widowControl w:val="0"/>
              <w:spacing w:line="288" w:lineRule="auto"/>
              <w:ind w:firstLine="567"/>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1AE">
            <w:pPr>
              <w:widowControl w:val="0"/>
              <w:spacing w:line="288" w:lineRule="auto"/>
              <w:ind w:firstLine="567"/>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1AF">
            <w:pPr>
              <w:widowControl w:val="0"/>
              <w:spacing w:line="288" w:lineRule="auto"/>
              <w:ind w:firstLine="567"/>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1B0">
            <w:pPr>
              <w:widowControl w:val="0"/>
              <w:spacing w:line="288" w:lineRule="auto"/>
              <w:ind w:firstLine="567"/>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1B1">
            <w:pPr>
              <w:widowControl w:val="0"/>
              <w:spacing w:line="288" w:lineRule="auto"/>
              <w:ind w:firstLine="567"/>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Nguyễn Nam Tiến</w:t>
            </w:r>
          </w:p>
        </w:tc>
      </w:tr>
    </w:tbl>
    <w:p w:rsidR="00000000" w:rsidDel="00000000" w:rsidP="00000000" w:rsidRDefault="00000000" w:rsidRPr="00000000" w14:paraId="000001B2">
      <w:pPr>
        <w:widowControl w:val="0"/>
        <w:tabs>
          <w:tab w:val="left" w:leader="none" w:pos="6105"/>
        </w:tabs>
        <w:spacing w:after="60" w:before="60" w:lineRule="auto"/>
        <w:rPr>
          <w:rFonts w:ascii="Times New Roman" w:cs="Times New Roman" w:eastAsia="Times New Roman" w:hAnsi="Times New Roman"/>
          <w:b w:val="1"/>
          <w:sz w:val="28"/>
          <w:szCs w:val="28"/>
        </w:rPr>
      </w:pPr>
      <w:r w:rsidDel="00000000" w:rsidR="00000000" w:rsidRPr="00000000">
        <w:rPr>
          <w:rtl w:val="0"/>
        </w:rPr>
      </w:r>
    </w:p>
    <w:sectPr>
      <w:footerReference r:id="rId7" w:type="default"/>
      <w:pgSz w:h="16840" w:w="11907" w:orient="portrait"/>
      <w:pgMar w:bottom="1134" w:top="1134" w:left="1701" w:right="1134" w:header="720" w:footer="51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Cambria"/>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3">
    <w:pPr>
      <w:keepNext w:val="0"/>
      <w:keepLines w:val="0"/>
      <w:pageBreakBefore w:val="0"/>
      <w:widowControl w:val="1"/>
      <w:pBdr>
        <w:top w:color="622423" w:space="1" w:sz="24" w:val="single"/>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Báo cáo của Hội đồng quản trị tại Đại hội đồng cổ đông thường niên năm 2025 (STH)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upperRoman"/>
      <w:lvlText w:val="%1."/>
      <w:lvlJc w:val="left"/>
      <w:pPr>
        <w:ind w:left="1287" w:hanging="720.0000000000001"/>
      </w:pPr>
      <w:rPr/>
    </w:lvl>
    <w:lvl w:ilvl="1">
      <w:start w:val="4"/>
      <w:numFmt w:val="decimal"/>
      <w:lvlText w:val="%1.%2"/>
      <w:lvlJc w:val="left"/>
      <w:pPr>
        <w:ind w:left="930" w:hanging="360"/>
      </w:pPr>
      <w:rPr/>
    </w:lvl>
    <w:lvl w:ilvl="2">
      <w:start w:val="1"/>
      <w:numFmt w:val="decimal"/>
      <w:lvlText w:val="%1.%2.%3"/>
      <w:lvlJc w:val="left"/>
      <w:pPr>
        <w:ind w:left="1293" w:hanging="719.9999999999999"/>
      </w:pPr>
      <w:rPr/>
    </w:lvl>
    <w:lvl w:ilvl="3">
      <w:start w:val="1"/>
      <w:numFmt w:val="decimal"/>
      <w:lvlText w:val="%1.%2.%3.%4"/>
      <w:lvlJc w:val="left"/>
      <w:pPr>
        <w:ind w:left="1656" w:hanging="1080"/>
      </w:pPr>
      <w:rPr/>
    </w:lvl>
    <w:lvl w:ilvl="4">
      <w:start w:val="1"/>
      <w:numFmt w:val="decimal"/>
      <w:lvlText w:val="%1.%2.%3.%4.%5"/>
      <w:lvlJc w:val="left"/>
      <w:pPr>
        <w:ind w:left="1659" w:hanging="1080"/>
      </w:pPr>
      <w:rPr/>
    </w:lvl>
    <w:lvl w:ilvl="5">
      <w:start w:val="1"/>
      <w:numFmt w:val="decimal"/>
      <w:lvlText w:val="%1.%2.%3.%4.%5.%6"/>
      <w:lvlJc w:val="left"/>
      <w:pPr>
        <w:ind w:left="2022" w:hanging="1440"/>
      </w:pPr>
      <w:rPr/>
    </w:lvl>
    <w:lvl w:ilvl="6">
      <w:start w:val="1"/>
      <w:numFmt w:val="decimal"/>
      <w:lvlText w:val="%1.%2.%3.%4.%5.%6.%7"/>
      <w:lvlJc w:val="left"/>
      <w:pPr>
        <w:ind w:left="2025" w:hanging="1440"/>
      </w:pPr>
      <w:rPr/>
    </w:lvl>
    <w:lvl w:ilvl="7">
      <w:start w:val="1"/>
      <w:numFmt w:val="decimal"/>
      <w:lvlText w:val="%1.%2.%3.%4.%5.%6.%7.%8"/>
      <w:lvlJc w:val="left"/>
      <w:pPr>
        <w:ind w:left="2388" w:hanging="1800"/>
      </w:pPr>
      <w:rPr/>
    </w:lvl>
    <w:lvl w:ilvl="8">
      <w:start w:val="1"/>
      <w:numFmt w:val="decimal"/>
      <w:lvlText w:val="%1.%2.%3.%4.%5.%6.%7.%8.%9"/>
      <w:lvlJc w:val="left"/>
      <w:pPr>
        <w:ind w:left="2751" w:hanging="2160"/>
      </w:pPr>
      <w:rPr/>
    </w:lvl>
  </w:abstractNum>
  <w:abstractNum w:abstractNumId="5">
    <w:lvl w:ilvl="0">
      <w:start w:val="1"/>
      <w:numFmt w:val="decimal"/>
      <w:lvlText w:val="%1."/>
      <w:lvlJc w:val="left"/>
      <w:pPr>
        <w:ind w:left="1069" w:hanging="360"/>
      </w:pPr>
      <w:rPr/>
    </w:lvl>
    <w:lvl w:ilvl="1">
      <w:start w:val="1"/>
      <w:numFmt w:val="decimal"/>
      <w:lvlText w:val="%1.%2"/>
      <w:lvlJc w:val="left"/>
      <w:pPr>
        <w:ind w:left="1917" w:hanging="630"/>
      </w:pPr>
      <w:rPr/>
    </w:lvl>
    <w:lvl w:ilvl="2">
      <w:start w:val="2"/>
      <w:numFmt w:val="decimal"/>
      <w:lvlText w:val="%1.%2.%3"/>
      <w:lvlJc w:val="left"/>
      <w:pPr>
        <w:ind w:left="2007" w:hanging="720"/>
      </w:pPr>
      <w:rPr/>
    </w:lvl>
    <w:lvl w:ilvl="3">
      <w:start w:val="1"/>
      <w:numFmt w:val="decimal"/>
      <w:lvlText w:val="%1.%2.%3.%4"/>
      <w:lvlJc w:val="left"/>
      <w:pPr>
        <w:ind w:left="2367" w:hanging="1080"/>
      </w:pPr>
      <w:rPr/>
    </w:lvl>
    <w:lvl w:ilvl="4">
      <w:start w:val="1"/>
      <w:numFmt w:val="decimal"/>
      <w:lvlText w:val="%1.%2.%3.%4.%5"/>
      <w:lvlJc w:val="left"/>
      <w:pPr>
        <w:ind w:left="2367" w:hanging="1080"/>
      </w:pPr>
      <w:rPr/>
    </w:lvl>
    <w:lvl w:ilvl="5">
      <w:start w:val="1"/>
      <w:numFmt w:val="decimal"/>
      <w:lvlText w:val="%1.%2.%3.%4.%5.%6"/>
      <w:lvlJc w:val="left"/>
      <w:pPr>
        <w:ind w:left="2727" w:hanging="1440"/>
      </w:pPr>
      <w:rPr/>
    </w:lvl>
    <w:lvl w:ilvl="6">
      <w:start w:val="1"/>
      <w:numFmt w:val="decimal"/>
      <w:lvlText w:val="%1.%2.%3.%4.%5.%6.%7"/>
      <w:lvlJc w:val="left"/>
      <w:pPr>
        <w:ind w:left="2727" w:hanging="1440"/>
      </w:pPr>
      <w:rPr/>
    </w:lvl>
    <w:lvl w:ilvl="7">
      <w:start w:val="1"/>
      <w:numFmt w:val="decimal"/>
      <w:lvlText w:val="%1.%2.%3.%4.%5.%6.%7.%8"/>
      <w:lvlJc w:val="left"/>
      <w:pPr>
        <w:ind w:left="3087" w:hanging="1800"/>
      </w:pPr>
      <w:rPr/>
    </w:lvl>
    <w:lvl w:ilvl="8">
      <w:start w:val="1"/>
      <w:numFmt w:val="decimal"/>
      <w:lvlText w:val="%1.%2.%3.%4.%5.%6.%7.%8.%9"/>
      <w:lvlJc w:val="left"/>
      <w:pPr>
        <w:ind w:left="3447" w:hanging="2160"/>
      </w:pPr>
      <w:rPr/>
    </w:lvl>
  </w:abstractNum>
  <w:abstractNum w:abstractNumId="6">
    <w:lvl w:ilvl="0">
      <w:start w:val="2"/>
      <w:numFmt w:val="decimal"/>
      <w:lvlText w:val="%1."/>
      <w:lvlJc w:val="left"/>
      <w:pPr>
        <w:ind w:left="408" w:hanging="408"/>
      </w:pPr>
      <w:rPr/>
    </w:lvl>
    <w:lvl w:ilvl="1">
      <w:start w:val="4"/>
      <w:numFmt w:val="decimal"/>
      <w:lvlText w:val="%1.%2."/>
      <w:lvlJc w:val="left"/>
      <w:pPr>
        <w:ind w:left="720" w:hanging="720"/>
      </w:pPr>
      <w:rPr/>
    </w:lvl>
    <w:lvl w:ilvl="2">
      <w:start w:val="1"/>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7">
    <w:lvl w:ilvl="0">
      <w:start w:val="2"/>
      <w:numFmt w:val="decimal"/>
      <w:lvlText w:val="%1."/>
      <w:lvlJc w:val="left"/>
      <w:pPr>
        <w:ind w:left="408" w:hanging="408"/>
      </w:pPr>
      <w:rPr/>
    </w:lvl>
    <w:lvl w:ilvl="1">
      <w:start w:val="3"/>
      <w:numFmt w:val="decimal"/>
      <w:lvlText w:val="%1.%2."/>
      <w:lvlJc w:val="left"/>
      <w:pPr>
        <w:ind w:left="720" w:hanging="720"/>
      </w:pPr>
      <w:rPr/>
    </w:lvl>
    <w:lvl w:ilvl="2">
      <w:start w:val="1"/>
      <w:numFmt w:val="lowerLetter"/>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8">
    <w:lvl w:ilvl="0">
      <w:start w:val="1"/>
      <w:numFmt w:val="upperRoman"/>
      <w:lvlText w:val="%1."/>
      <w:lvlJc w:val="left"/>
      <w:pPr>
        <w:ind w:left="1287" w:hanging="720.0000000000001"/>
      </w:pPr>
      <w:rPr/>
    </w:lvl>
    <w:lvl w:ilvl="1">
      <w:start w:val="2"/>
      <w:numFmt w:val="decimal"/>
      <w:lvlText w:val="%1.%2."/>
      <w:lvlJc w:val="left"/>
      <w:pPr>
        <w:ind w:left="1287" w:hanging="720.0000000000001"/>
      </w:pPr>
      <w:rPr/>
    </w:lvl>
    <w:lvl w:ilvl="2">
      <w:start w:val="1"/>
      <w:numFmt w:val="decimal"/>
      <w:lvlText w:val="%1.%2.%3."/>
      <w:lvlJc w:val="left"/>
      <w:pPr>
        <w:ind w:left="1287" w:hanging="720.0000000000001"/>
      </w:pPr>
      <w:rPr/>
    </w:lvl>
    <w:lvl w:ilvl="3">
      <w:start w:val="1"/>
      <w:numFmt w:val="decimal"/>
      <w:lvlText w:val="%1.%2.%3.%4."/>
      <w:lvlJc w:val="left"/>
      <w:pPr>
        <w:ind w:left="1647" w:hanging="1080"/>
      </w:pPr>
      <w:rPr/>
    </w:lvl>
    <w:lvl w:ilvl="4">
      <w:start w:val="1"/>
      <w:numFmt w:val="decimal"/>
      <w:lvlText w:val="%1.%2.%3.%4.%5."/>
      <w:lvlJc w:val="left"/>
      <w:pPr>
        <w:ind w:left="1647" w:hanging="1080"/>
      </w:pPr>
      <w:rPr/>
    </w:lvl>
    <w:lvl w:ilvl="5">
      <w:start w:val="1"/>
      <w:numFmt w:val="decimal"/>
      <w:lvlText w:val="%1.%2.%3.%4.%5.%6."/>
      <w:lvlJc w:val="left"/>
      <w:pPr>
        <w:ind w:left="2007" w:hanging="1440"/>
      </w:pPr>
      <w:rPr/>
    </w:lvl>
    <w:lvl w:ilvl="6">
      <w:start w:val="1"/>
      <w:numFmt w:val="decimal"/>
      <w:lvlText w:val="%1.%2.%3.%4.%5.%6.%7."/>
      <w:lvlJc w:val="left"/>
      <w:pPr>
        <w:ind w:left="2007" w:hanging="1440"/>
      </w:pPr>
      <w:rPr/>
    </w:lvl>
    <w:lvl w:ilvl="7">
      <w:start w:val="1"/>
      <w:numFmt w:val="decimal"/>
      <w:lvlText w:val="%1.%2.%3.%4.%5.%6.%7.%8."/>
      <w:lvlJc w:val="left"/>
      <w:pPr>
        <w:ind w:left="2367" w:hanging="1800"/>
      </w:pPr>
      <w:rPr/>
    </w:lvl>
    <w:lvl w:ilvl="8">
      <w:start w:val="1"/>
      <w:numFmt w:val="decimal"/>
      <w:lvlText w:val="%1.%2.%3.%4.%5.%6.%7.%8.%9."/>
      <w:lvlJc w:val="left"/>
      <w:pPr>
        <w:ind w:left="2367" w:hanging="1800"/>
      </w:pPr>
      <w:rPr/>
    </w:lvl>
  </w:abstractNum>
  <w:abstractNum w:abstractNumId="9">
    <w:lvl w:ilvl="0">
      <w:start w:val="1"/>
      <w:numFmt w:val="decimal"/>
      <w:lvlText w:val="%1."/>
      <w:lvlJc w:val="left"/>
      <w:pPr>
        <w:ind w:left="927" w:hanging="360"/>
      </w:pPr>
      <w:rPr/>
    </w:lvl>
    <w:lvl w:ilvl="1">
      <w:start w:val="3"/>
      <w:numFmt w:val="decimal"/>
      <w:lvlText w:val="%1.%2."/>
      <w:lvlJc w:val="left"/>
      <w:pPr>
        <w:ind w:left="1287" w:hanging="720.0000000000001"/>
      </w:pPr>
      <w:rPr/>
    </w:lvl>
    <w:lvl w:ilvl="2">
      <w:start w:val="1"/>
      <w:numFmt w:val="decimal"/>
      <w:lvlText w:val="%1.%2.%3."/>
      <w:lvlJc w:val="left"/>
      <w:pPr>
        <w:ind w:left="1287" w:hanging="720.0000000000001"/>
      </w:pPr>
      <w:rPr/>
    </w:lvl>
    <w:lvl w:ilvl="3">
      <w:start w:val="1"/>
      <w:numFmt w:val="decimal"/>
      <w:lvlText w:val="%1.%2.%3.%4."/>
      <w:lvlJc w:val="left"/>
      <w:pPr>
        <w:ind w:left="1647" w:hanging="1080"/>
      </w:pPr>
      <w:rPr/>
    </w:lvl>
    <w:lvl w:ilvl="4">
      <w:start w:val="1"/>
      <w:numFmt w:val="decimal"/>
      <w:lvlText w:val="%1.%2.%3.%4.%5."/>
      <w:lvlJc w:val="left"/>
      <w:pPr>
        <w:ind w:left="1647" w:hanging="1080"/>
      </w:pPr>
      <w:rPr/>
    </w:lvl>
    <w:lvl w:ilvl="5">
      <w:start w:val="1"/>
      <w:numFmt w:val="decimal"/>
      <w:lvlText w:val="%1.%2.%3.%4.%5.%6."/>
      <w:lvlJc w:val="left"/>
      <w:pPr>
        <w:ind w:left="2007" w:hanging="1440"/>
      </w:pPr>
      <w:rPr/>
    </w:lvl>
    <w:lvl w:ilvl="6">
      <w:start w:val="1"/>
      <w:numFmt w:val="decimal"/>
      <w:lvlText w:val="%1.%2.%3.%4.%5.%6.%7."/>
      <w:lvlJc w:val="left"/>
      <w:pPr>
        <w:ind w:left="2007" w:hanging="1440"/>
      </w:pPr>
      <w:rPr/>
    </w:lvl>
    <w:lvl w:ilvl="7">
      <w:start w:val="1"/>
      <w:numFmt w:val="decimal"/>
      <w:lvlText w:val="%1.%2.%3.%4.%5.%6.%7.%8."/>
      <w:lvlJc w:val="left"/>
      <w:pPr>
        <w:ind w:left="2367" w:hanging="1800"/>
      </w:pPr>
      <w:rPr/>
    </w:lvl>
    <w:lvl w:ilvl="8">
      <w:start w:val="1"/>
      <w:numFmt w:val="decimal"/>
      <w:lvlText w:val="%1.%2.%3.%4.%5.%6.%7.%8.%9."/>
      <w:lvlJc w:val="left"/>
      <w:pPr>
        <w:ind w:left="2367" w:hanging="180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after="0" w:before="40" w:lineRule="auto"/>
    </w:pPr>
    <w:rPr>
      <w:rFonts w:ascii="Cambria" w:cs="Cambria" w:eastAsia="Cambria" w:hAnsi="Cambria"/>
      <w:i w:val="1"/>
      <w:color w:val="36609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15.0" w:type="dxa"/>
        <w:left w:w="15.0" w:type="dxa"/>
        <w:bottom w:w="15.0" w:type="dxa"/>
        <w:right w:w="15.0" w:type="dxa"/>
      </w:tblCellMar>
    </w:tblPr>
  </w:style>
  <w:style w:type="table" w:styleId="Table11">
    <w:basedOn w:val="TableNormal"/>
    <w:tblPr>
      <w:tblStyleRowBandSize w:val="1"/>
      <w:tblStyleColBandSize w:val="1"/>
      <w:tblCellMar>
        <w:top w:w="15.0" w:type="dxa"/>
        <w:left w:w="15.0" w:type="dxa"/>
        <w:bottom w:w="15.0" w:type="dxa"/>
        <w:right w:w="15.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