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margin" w:horzAnchor="margin" w:tblpXSpec="center" w:tblpY="0"/>
        <w:tblW w:w="10348.0" w:type="dxa"/>
        <w:jc w:val="left"/>
        <w:tblInd w:w="-108.0" w:type="dxa"/>
        <w:tblLayout w:type="fixed"/>
        <w:tblLook w:val="0000"/>
      </w:tblPr>
      <w:tblGrid>
        <w:gridCol w:w="4608"/>
        <w:gridCol w:w="5740"/>
        <w:tblGridChange w:id="0">
          <w:tblGrid>
            <w:gridCol w:w="4608"/>
            <w:gridCol w:w="5740"/>
          </w:tblGrid>
        </w:tblGridChange>
      </w:tblGrid>
      <w:tr>
        <w:trPr>
          <w:cantSplit w:val="0"/>
          <w:trHeight w:val="1276" w:hRule="atLeast"/>
          <w:tblHeader w:val="0"/>
        </w:trPr>
        <w:tc>
          <w:tcPr>
            <w:vAlign w:val="top"/>
          </w:tcPr>
          <w:p w:rsidR="00000000" w:rsidDel="00000000" w:rsidP="00000000" w:rsidRDefault="00000000" w:rsidRPr="00000000" w14:paraId="00000002">
            <w:pPr>
              <w:jc w:val="center"/>
              <w:rPr>
                <w:b w:val="0"/>
                <w:sz w:val="26"/>
                <w:szCs w:val="26"/>
                <w:vertAlign w:val="baseline"/>
              </w:rPr>
            </w:pPr>
            <w:bookmarkStart w:colFirst="0" w:colLast="0" w:name="_qo25qv8ex23u" w:id="0"/>
            <w:bookmarkEnd w:id="0"/>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240" w:lineRule="auto"/>
              <w:jc w:val="center"/>
              <w:rPr>
                <w:sz w:val="26"/>
                <w:szCs w:val="26"/>
                <w:vertAlign w:val="baseline"/>
              </w:rPr>
            </w:pPr>
            <w:r w:rsidDel="00000000" w:rsidR="00000000" w:rsidRPr="00000000">
              <w:rPr>
                <w:sz w:val="26"/>
                <w:szCs w:val="26"/>
                <w:vertAlign w:val="baseline"/>
                <w:rtl w:val="0"/>
              </w:rPr>
              <w:t xml:space="preserve">Số: 04/2025/STH/TTr-HĐQT</w:t>
            </w:r>
          </w:p>
        </w:tc>
        <w:tc>
          <w:tcPr>
            <w:vAlign w:val="top"/>
          </w:tcPr>
          <w:p w:rsidR="00000000" w:rsidDel="00000000" w:rsidP="00000000" w:rsidRDefault="00000000" w:rsidRPr="00000000" w14:paraId="00000005">
            <w:pPr>
              <w:ind w:hanging="2"/>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hanging="2"/>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s>
              <w:spacing w:before="240" w:lineRule="auto"/>
              <w:jc w:val="right"/>
              <w:rPr>
                <w:sz w:val="26"/>
                <w:szCs w:val="26"/>
                <w:vertAlign w:val="baseline"/>
              </w:rPr>
            </w:pPr>
            <w:r w:rsidDel="00000000" w:rsidR="00000000" w:rsidRPr="00000000">
              <w:rPr>
                <w:i w:val="1"/>
                <w:sz w:val="26"/>
                <w:szCs w:val="26"/>
                <w:vertAlign w:val="baseline"/>
                <w:rtl w:val="0"/>
              </w:rPr>
              <w:t xml:space="preserve">Thái Nguyên, ngày ….. tháng …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28"/>
          <w:szCs w:val="28"/>
          <w:vertAlign w:val="baseline"/>
        </w:rPr>
      </w:pPr>
      <w:r w:rsidDel="00000000" w:rsidR="00000000" w:rsidRPr="00000000">
        <w:rPr>
          <w:b w:val="1"/>
          <w:sz w:val="28"/>
          <w:szCs w:val="28"/>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6"/>
          <w:szCs w:val="26"/>
          <w:vertAlign w:val="baseline"/>
        </w:rPr>
      </w:pPr>
      <w:bookmarkStart w:colFirst="0" w:colLast="0" w:name="_l4hi4qcv6jci" w:id="1"/>
      <w:bookmarkEnd w:id="1"/>
      <w:r w:rsidDel="00000000" w:rsidR="00000000" w:rsidRPr="00000000">
        <w:rPr>
          <w:b w:val="1"/>
          <w:sz w:val="26"/>
          <w:szCs w:val="26"/>
          <w:vertAlign w:val="baseline"/>
          <w:rtl w:val="0"/>
        </w:rPr>
        <w:t xml:space="preserve">V/v: Thông qua kế hoạch kinh doanh và đầu tư năm 2025</w:t>
      </w:r>
      <w:r w:rsidDel="00000000" w:rsidR="00000000" w:rsidRPr="00000000">
        <w:rPr>
          <w:rtl w:val="0"/>
        </w:rPr>
      </w:r>
    </w:p>
    <w:p w:rsidR="00000000" w:rsidDel="00000000" w:rsidP="00000000" w:rsidRDefault="00000000" w:rsidRPr="00000000" w14:paraId="0000000A">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B">
      <w:pPr>
        <w:widowControl w:val="0"/>
        <w:spacing w:before="240" w:line="288"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C">
      <w:pPr>
        <w:widowControl w:val="0"/>
        <w:spacing w:line="288"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D">
      <w:pPr>
        <w:spacing w:line="288" w:lineRule="auto"/>
        <w:ind w:firstLine="567"/>
        <w:jc w:val="both"/>
        <w:rPr>
          <w:i w:val="0"/>
          <w:sz w:val="26"/>
          <w:szCs w:val="26"/>
          <w:vertAlign w:val="baseline"/>
        </w:rPr>
      </w:pPr>
      <w:r w:rsidDel="00000000" w:rsidR="00000000" w:rsidRPr="00000000">
        <w:rPr>
          <w:i w:val="1"/>
          <w:sz w:val="26"/>
          <w:szCs w:val="26"/>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0E">
      <w:pPr>
        <w:spacing w:before="120" w:line="312" w:lineRule="auto"/>
        <w:ind w:firstLine="567"/>
        <w:jc w:val="both"/>
        <w:rPr>
          <w:sz w:val="26"/>
          <w:szCs w:val="26"/>
          <w:vertAlign w:val="baseline"/>
        </w:rPr>
      </w:pPr>
      <w:r w:rsidDel="00000000" w:rsidR="00000000" w:rsidRPr="00000000">
        <w:rPr>
          <w:sz w:val="26"/>
          <w:szCs w:val="26"/>
          <w:vertAlign w:val="baseline"/>
          <w:rtl w:val="0"/>
        </w:rPr>
        <w:t xml:space="preserve">Hội đồng quản trị Công ty</w:t>
      </w: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cổ phần Phát hành sách Thái Nguyên kính trình Đại hội đồng cổ đông thảo luận và biểu quyết thông qua kế hoạch kinh doanh năm 2025 với một số nội dung chính như sau: </w:t>
      </w:r>
    </w:p>
    <w:p w:rsidR="00000000" w:rsidDel="00000000" w:rsidP="00000000" w:rsidRDefault="00000000" w:rsidRPr="00000000" w14:paraId="0000000F">
      <w:pPr>
        <w:numPr>
          <w:ilvl w:val="0"/>
          <w:numId w:val="2"/>
        </w:numPr>
        <w:spacing w:before="120" w:line="312" w:lineRule="auto"/>
        <w:ind w:left="927" w:hanging="360"/>
        <w:jc w:val="both"/>
        <w:rPr>
          <w:sz w:val="26"/>
          <w:szCs w:val="26"/>
        </w:rPr>
      </w:pPr>
      <w:r w:rsidDel="00000000" w:rsidR="00000000" w:rsidRPr="00000000">
        <w:rPr>
          <w:sz w:val="26"/>
          <w:szCs w:val="26"/>
          <w:vertAlign w:val="baseline"/>
          <w:rtl w:val="0"/>
        </w:rPr>
        <w:t xml:space="preserve">Kế hoạch kinh doanh</w:t>
      </w:r>
    </w:p>
    <w:p w:rsidR="00000000" w:rsidDel="00000000" w:rsidP="00000000" w:rsidRDefault="00000000" w:rsidRPr="00000000" w14:paraId="00000010">
      <w:pPr>
        <w:spacing w:line="312" w:lineRule="auto"/>
        <w:ind w:firstLine="567"/>
        <w:jc w:val="right"/>
        <w:rPr>
          <w:i w:val="0"/>
          <w:sz w:val="26"/>
          <w:szCs w:val="26"/>
          <w:vertAlign w:val="baseline"/>
        </w:rPr>
      </w:pPr>
      <w:r w:rsidDel="00000000" w:rsidR="00000000" w:rsidRPr="00000000">
        <w:rPr>
          <w:sz w:val="26"/>
          <w:szCs w:val="26"/>
          <w:vertAlign w:val="baseline"/>
          <w:rtl w:val="0"/>
        </w:rPr>
        <w:tab/>
        <w:tab/>
        <w:tab/>
      </w:r>
      <w:r w:rsidDel="00000000" w:rsidR="00000000" w:rsidRPr="00000000">
        <w:rPr>
          <w:i w:val="1"/>
          <w:sz w:val="26"/>
          <w:szCs w:val="26"/>
          <w:vertAlign w:val="baseline"/>
          <w:rtl w:val="0"/>
        </w:rPr>
        <w:t xml:space="preserve">Đơn vị tính: Đồng</w:t>
      </w:r>
      <w:r w:rsidDel="00000000" w:rsidR="00000000" w:rsidRPr="00000000">
        <w:rPr>
          <w:rtl w:val="0"/>
        </w:rPr>
      </w:r>
    </w:p>
    <w:tbl>
      <w:tblPr>
        <w:tblStyle w:val="Table2"/>
        <w:tblW w:w="8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5631"/>
        <w:gridCol w:w="2639"/>
        <w:tblGridChange w:id="0">
          <w:tblGrid>
            <w:gridCol w:w="708"/>
            <w:gridCol w:w="5631"/>
            <w:gridCol w:w="2639"/>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line="312" w:lineRule="auto"/>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line="312" w:lineRule="auto"/>
              <w:jc w:val="center"/>
              <w:rPr>
                <w:b w:val="0"/>
                <w:sz w:val="26"/>
                <w:szCs w:val="26"/>
                <w:vertAlign w:val="baseline"/>
              </w:rPr>
            </w:pPr>
            <w:r w:rsidDel="00000000" w:rsidR="00000000" w:rsidRPr="00000000">
              <w:rPr>
                <w:b w:val="1"/>
                <w:sz w:val="26"/>
                <w:szCs w:val="26"/>
                <w:vertAlign w:val="baseline"/>
                <w:rtl w:val="0"/>
              </w:rPr>
              <w:t xml:space="preserve">Kế hoạch</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13">
            <w:pPr>
              <w:spacing w:line="312" w:lineRule="auto"/>
              <w:jc w:val="center"/>
              <w:rPr>
                <w:b w:val="0"/>
                <w:sz w:val="26"/>
                <w:szCs w:val="26"/>
                <w:vertAlign w:val="baseline"/>
              </w:rPr>
            </w:pPr>
            <w:r w:rsidDel="00000000" w:rsidR="00000000" w:rsidRPr="00000000">
              <w:rPr>
                <w:b w:val="1"/>
                <w:sz w:val="26"/>
                <w:szCs w:val="26"/>
                <w:vertAlign w:val="baseline"/>
                <w:rtl w:val="0"/>
              </w:rPr>
              <w:t xml:space="preserve">Năm 2025</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line="312" w:lineRule="auto"/>
              <w:jc w:val="center"/>
              <w:rPr>
                <w:sz w:val="26"/>
                <w:szCs w:val="26"/>
                <w:vertAlign w:val="baseline"/>
              </w:rPr>
            </w:pPr>
            <w:r w:rsidDel="00000000" w:rsidR="00000000" w:rsidRPr="00000000">
              <w:rPr>
                <w:sz w:val="26"/>
                <w:szCs w:val="26"/>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line="312" w:lineRule="auto"/>
              <w:rPr>
                <w:sz w:val="26"/>
                <w:szCs w:val="26"/>
                <w:vertAlign w:val="baseline"/>
              </w:rPr>
            </w:pPr>
            <w:r w:rsidDel="00000000" w:rsidR="00000000" w:rsidRPr="00000000">
              <w:rPr>
                <w:sz w:val="26"/>
                <w:szCs w:val="26"/>
                <w:vertAlign w:val="baseline"/>
                <w:rtl w:val="0"/>
              </w:rPr>
              <w:t xml:space="preserve">Doanh thu thuần (đồng)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line="312" w:lineRule="auto"/>
              <w:jc w:val="right"/>
              <w:rPr>
                <w:sz w:val="26"/>
                <w:szCs w:val="26"/>
                <w:vertAlign w:val="baseline"/>
              </w:rPr>
            </w:pPr>
            <w:r w:rsidDel="00000000" w:rsidR="00000000" w:rsidRPr="00000000">
              <w:rPr>
                <w:sz w:val="26"/>
                <w:szCs w:val="26"/>
                <w:vertAlign w:val="baseline"/>
                <w:rtl w:val="0"/>
              </w:rPr>
              <w:t xml:space="preserve">35.000.000.000</w:t>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line="312" w:lineRule="auto"/>
              <w:jc w:val="center"/>
              <w:rPr>
                <w:sz w:val="26"/>
                <w:szCs w:val="26"/>
                <w:vertAlign w:val="baseline"/>
              </w:rPr>
            </w:pPr>
            <w:r w:rsidDel="00000000" w:rsidR="00000000" w:rsidRPr="00000000">
              <w:rPr>
                <w:sz w:val="26"/>
                <w:szCs w:val="26"/>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line="312" w:lineRule="auto"/>
              <w:rPr>
                <w:sz w:val="26"/>
                <w:szCs w:val="26"/>
                <w:vertAlign w:val="baseline"/>
              </w:rPr>
            </w:pPr>
            <w:r w:rsidDel="00000000" w:rsidR="00000000" w:rsidRPr="00000000">
              <w:rPr>
                <w:sz w:val="26"/>
                <w:szCs w:val="26"/>
                <w:vertAlign w:val="baseline"/>
                <w:rtl w:val="0"/>
              </w:rPr>
              <w:t xml:space="preserve">Lợi nhuận trước thuế (đồng)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9">
            <w:pPr>
              <w:jc w:val="right"/>
              <w:rPr>
                <w:vertAlign w:val="baseline"/>
              </w:rPr>
            </w:pPr>
            <w:r w:rsidDel="00000000" w:rsidR="00000000" w:rsidRPr="00000000">
              <w:rPr>
                <w:sz w:val="26"/>
                <w:szCs w:val="26"/>
                <w:vertAlign w:val="baseline"/>
                <w:rtl w:val="0"/>
              </w:rPr>
              <w:t xml:space="preserve">1.600.000.000</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spacing w:line="312" w:lineRule="auto"/>
              <w:jc w:val="center"/>
              <w:rPr>
                <w:sz w:val="26"/>
                <w:szCs w:val="26"/>
                <w:vertAlign w:val="baseline"/>
              </w:rPr>
            </w:pPr>
            <w:r w:rsidDel="00000000" w:rsidR="00000000" w:rsidRPr="00000000">
              <w:rPr>
                <w:sz w:val="26"/>
                <w:szCs w:val="26"/>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line="312" w:lineRule="auto"/>
              <w:rPr>
                <w:sz w:val="26"/>
                <w:szCs w:val="26"/>
                <w:vertAlign w:val="baseline"/>
              </w:rPr>
            </w:pPr>
            <w:r w:rsidDel="00000000" w:rsidR="00000000" w:rsidRPr="00000000">
              <w:rPr>
                <w:sz w:val="26"/>
                <w:szCs w:val="26"/>
                <w:vertAlign w:val="baseline"/>
                <w:rtl w:val="0"/>
              </w:rPr>
              <w:t xml:space="preserve">Lợi nhuận sau thuế (đồng)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C">
            <w:pPr>
              <w:jc w:val="right"/>
              <w:rPr>
                <w:vertAlign w:val="baseline"/>
              </w:rPr>
            </w:pPr>
            <w:r w:rsidDel="00000000" w:rsidR="00000000" w:rsidRPr="00000000">
              <w:rPr>
                <w:sz w:val="26"/>
                <w:szCs w:val="26"/>
                <w:vertAlign w:val="baseline"/>
                <w:rtl w:val="0"/>
              </w:rPr>
              <w:t xml:space="preserve">1.280.000.000</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spacing w:line="312" w:lineRule="auto"/>
              <w:jc w:val="center"/>
              <w:rPr>
                <w:sz w:val="26"/>
                <w:szCs w:val="26"/>
                <w:vertAlign w:val="baseline"/>
              </w:rPr>
            </w:pPr>
            <w:r w:rsidDel="00000000" w:rsidR="00000000" w:rsidRPr="00000000">
              <w:rPr>
                <w:sz w:val="26"/>
                <w:szCs w:val="26"/>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line="312" w:lineRule="auto"/>
              <w:rPr>
                <w:sz w:val="26"/>
                <w:szCs w:val="26"/>
                <w:vertAlign w:val="baseline"/>
              </w:rPr>
            </w:pPr>
            <w:r w:rsidDel="00000000" w:rsidR="00000000" w:rsidRPr="00000000">
              <w:rPr>
                <w:sz w:val="26"/>
                <w:szCs w:val="26"/>
                <w:vertAlign w:val="baseline"/>
                <w:rtl w:val="0"/>
              </w:rPr>
              <w:t xml:space="preserve">Vốn điều lệ (đồng)</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F">
            <w:pPr>
              <w:jc w:val="right"/>
              <w:rPr>
                <w:vertAlign w:val="baseline"/>
              </w:rPr>
            </w:pPr>
            <w:r w:rsidDel="00000000" w:rsidR="00000000" w:rsidRPr="00000000">
              <w:rPr>
                <w:sz w:val="26"/>
                <w:szCs w:val="26"/>
                <w:vertAlign w:val="baseline"/>
                <w:rtl w:val="0"/>
              </w:rPr>
              <w:t xml:space="preserve">195.000.000.000</w:t>
            </w:r>
            <w:r w:rsidDel="00000000" w:rsidR="00000000" w:rsidRPr="00000000">
              <w:rPr>
                <w:rtl w:val="0"/>
              </w:rPr>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spacing w:line="312" w:lineRule="auto"/>
              <w:jc w:val="center"/>
              <w:rPr>
                <w:sz w:val="26"/>
                <w:szCs w:val="26"/>
                <w:vertAlign w:val="baseline"/>
              </w:rPr>
            </w:pPr>
            <w:r w:rsidDel="00000000" w:rsidR="00000000" w:rsidRPr="00000000">
              <w:rPr>
                <w:sz w:val="26"/>
                <w:szCs w:val="26"/>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tabs>
                <w:tab w:val="center" w:leader="none" w:pos="1426"/>
              </w:tabs>
              <w:spacing w:line="312" w:lineRule="auto"/>
              <w:rPr>
                <w:sz w:val="26"/>
                <w:szCs w:val="26"/>
                <w:vertAlign w:val="baseline"/>
              </w:rPr>
            </w:pPr>
            <w:r w:rsidDel="00000000" w:rsidR="00000000" w:rsidRPr="00000000">
              <w:rPr>
                <w:sz w:val="26"/>
                <w:szCs w:val="26"/>
                <w:vertAlign w:val="baseline"/>
                <w:rtl w:val="0"/>
              </w:rPr>
              <w:t xml:space="preserve">Cổ tức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2">
            <w:pPr>
              <w:jc w:val="right"/>
              <w:rPr>
                <w:vertAlign w:val="baseline"/>
              </w:rPr>
            </w:pPr>
            <w:r w:rsidDel="00000000" w:rsidR="00000000" w:rsidRPr="00000000">
              <w:rPr>
                <w:sz w:val="26"/>
                <w:szCs w:val="26"/>
                <w:vertAlign w:val="baseline"/>
                <w:rtl w:val="0"/>
              </w:rPr>
              <w:t xml:space="preserve">0%</w:t>
            </w:r>
            <w:r w:rsidDel="00000000" w:rsidR="00000000" w:rsidRPr="00000000">
              <w:rPr>
                <w:rtl w:val="0"/>
              </w:rPr>
            </w:r>
          </w:p>
        </w:tc>
      </w:tr>
    </w:tbl>
    <w:p w:rsidR="00000000" w:rsidDel="00000000" w:rsidP="00000000" w:rsidRDefault="00000000" w:rsidRPr="00000000" w14:paraId="00000023">
      <w:pPr>
        <w:numPr>
          <w:ilvl w:val="0"/>
          <w:numId w:val="2"/>
        </w:numPr>
        <w:spacing w:after="240" w:before="240" w:line="312" w:lineRule="auto"/>
        <w:ind w:left="927" w:hanging="360"/>
        <w:jc w:val="both"/>
        <w:rPr>
          <w:sz w:val="26"/>
          <w:szCs w:val="26"/>
        </w:rPr>
      </w:pPr>
      <w:r w:rsidDel="00000000" w:rsidR="00000000" w:rsidRPr="00000000">
        <w:rPr>
          <w:sz w:val="26"/>
          <w:szCs w:val="26"/>
          <w:vertAlign w:val="baseline"/>
          <w:rtl w:val="0"/>
        </w:rPr>
        <w:t xml:space="preserve">Kế hoạch đầu tư:</w:t>
      </w:r>
    </w:p>
    <w:p w:rsidR="00000000" w:rsidDel="00000000" w:rsidP="00000000" w:rsidRDefault="00000000" w:rsidRPr="00000000" w14:paraId="00000024">
      <w:pPr>
        <w:spacing w:after="240" w:before="240" w:line="312" w:lineRule="auto"/>
        <w:ind w:firstLine="567"/>
        <w:jc w:val="both"/>
        <w:rPr>
          <w:sz w:val="26"/>
          <w:szCs w:val="26"/>
          <w:vertAlign w:val="baseline"/>
        </w:rPr>
      </w:pPr>
      <w:r w:rsidDel="00000000" w:rsidR="00000000" w:rsidRPr="00000000">
        <w:rPr>
          <w:sz w:val="26"/>
          <w:szCs w:val="26"/>
          <w:vertAlign w:val="baseline"/>
          <w:rtl w:val="0"/>
        </w:rPr>
        <w:t xml:space="preserve">Tiếp tục thực hiện chủ trương đầu tư xây dựng trụ sở mới Dự án Tổ hợp tài chính, Thương mại, Dịch vụ và Khách sạn Thái Hưng (Thai Hung Complex Tower) đã được Đại hội đồng cổ đông thông qua tại kỳ họp Đại hội đồng cổ đông thường niên năm 2022.</w:t>
      </w:r>
    </w:p>
    <w:p w:rsidR="00000000" w:rsidDel="00000000" w:rsidP="00000000" w:rsidRDefault="00000000" w:rsidRPr="00000000" w14:paraId="00000025">
      <w:pPr>
        <w:spacing w:after="240" w:before="240" w:line="312" w:lineRule="auto"/>
        <w:jc w:val="both"/>
        <w:rPr>
          <w:sz w:val="26"/>
          <w:szCs w:val="26"/>
          <w:vertAlign w:val="baseline"/>
        </w:rPr>
      </w:pPr>
      <w:r w:rsidDel="00000000" w:rsidR="00000000" w:rsidRPr="00000000">
        <w:rPr>
          <w:sz w:val="26"/>
          <w:szCs w:val="26"/>
          <w:vertAlign w:val="baseline"/>
          <w:rtl w:val="0"/>
        </w:rPr>
        <w:t xml:space="preserve">Kính trình Đại hội hội đồng cổ đông chấp thuận thông qua./.</w:t>
      </w:r>
    </w:p>
    <w:tbl>
      <w:tblPr>
        <w:tblStyle w:val="Table3"/>
        <w:tblW w:w="9432.0" w:type="dxa"/>
        <w:jc w:val="left"/>
        <w:tblInd w:w="-108.0" w:type="dxa"/>
        <w:tblLayout w:type="fixed"/>
        <w:tblLook w:val="0000"/>
      </w:tblPr>
      <w:tblGrid>
        <w:gridCol w:w="4716"/>
        <w:gridCol w:w="4716"/>
        <w:tblGridChange w:id="0">
          <w:tblGrid>
            <w:gridCol w:w="4716"/>
            <w:gridCol w:w="4716"/>
          </w:tblGrid>
        </w:tblGridChange>
      </w:tblGrid>
      <w:tr>
        <w:trPr>
          <w:cantSplit w:val="0"/>
          <w:trHeight w:val="1388" w:hRule="atLeast"/>
          <w:tblHeader w:val="0"/>
        </w:trPr>
        <w:tc>
          <w:tcPr>
            <w:vAlign w:val="top"/>
          </w:tcPr>
          <w:p w:rsidR="00000000" w:rsidDel="00000000" w:rsidP="00000000" w:rsidRDefault="00000000" w:rsidRPr="00000000" w14:paraId="00000026">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27">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28">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29">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2A">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2B">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2C">
            <w:pPr>
              <w:jc w:val="center"/>
              <w:rPr>
                <w:b w:val="0"/>
                <w:sz w:val="26"/>
                <w:szCs w:val="26"/>
                <w:vertAlign w:val="baseline"/>
              </w:rPr>
            </w:pPr>
            <w:r w:rsidDel="00000000" w:rsidR="00000000" w:rsidRPr="00000000">
              <w:rPr>
                <w:rtl w:val="0"/>
              </w:rPr>
            </w:r>
          </w:p>
          <w:p w:rsidR="00000000" w:rsidDel="00000000" w:rsidP="00000000" w:rsidRDefault="00000000" w:rsidRPr="00000000" w14:paraId="0000002D">
            <w:pPr>
              <w:jc w:val="center"/>
              <w:rPr>
                <w:vertAlign w:val="baseline"/>
              </w:rPr>
            </w:pPr>
            <w:r w:rsidDel="00000000" w:rsidR="00000000" w:rsidRPr="00000000">
              <w:rPr>
                <w:rtl w:val="0"/>
              </w:rPr>
            </w:r>
          </w:p>
          <w:p w:rsidR="00000000" w:rsidDel="00000000" w:rsidP="00000000" w:rsidRDefault="00000000" w:rsidRPr="00000000" w14:paraId="0000002E">
            <w:pPr>
              <w:jc w:val="center"/>
              <w:rPr>
                <w:vertAlign w:val="baseline"/>
              </w:rPr>
            </w:pPr>
            <w:r w:rsidDel="00000000" w:rsidR="00000000" w:rsidRPr="00000000">
              <w:rPr>
                <w:rtl w:val="0"/>
              </w:rPr>
            </w:r>
          </w:p>
          <w:p w:rsidR="00000000" w:rsidDel="00000000" w:rsidP="00000000" w:rsidRDefault="00000000" w:rsidRPr="00000000" w14:paraId="0000002F">
            <w:pPr>
              <w:jc w:val="center"/>
              <w:rPr>
                <w:vertAlign w:val="baseline"/>
              </w:rPr>
            </w:pPr>
            <w:r w:rsidDel="00000000" w:rsidR="00000000" w:rsidRPr="00000000">
              <w:rPr>
                <w:rtl w:val="0"/>
              </w:rPr>
            </w:r>
          </w:p>
          <w:p w:rsidR="00000000" w:rsidDel="00000000" w:rsidP="00000000" w:rsidRDefault="00000000" w:rsidRPr="00000000" w14:paraId="00000030">
            <w:pPr>
              <w:rPr>
                <w:b w:val="0"/>
                <w:sz w:val="26"/>
                <w:szCs w:val="26"/>
                <w:vertAlign w:val="baseline"/>
              </w:rPr>
            </w:pPr>
            <w:r w:rsidDel="00000000" w:rsidR="00000000" w:rsidRPr="00000000">
              <w:rPr>
                <w:b w:val="1"/>
                <w:sz w:val="26"/>
                <w:szCs w:val="26"/>
                <w:vertAlign w:val="baseline"/>
                <w:rtl w:val="0"/>
              </w:rPr>
              <w:t xml:space="preserve">                   Nguyễn Nam Tiến</w:t>
            </w:r>
            <w:r w:rsidDel="00000000" w:rsidR="00000000" w:rsidRPr="00000000">
              <w:rPr>
                <w:rtl w:val="0"/>
              </w:rPr>
            </w:r>
          </w:p>
        </w:tc>
      </w:tr>
      <w:tr>
        <w:trPr>
          <w:cantSplit w:val="0"/>
          <w:trHeight w:val="1388" w:hRule="atLeast"/>
          <w:tblHeader w:val="0"/>
        </w:trPr>
        <w:tc>
          <w:tcPr>
            <w:vAlign w:val="top"/>
          </w:tcPr>
          <w:p w:rsidR="00000000" w:rsidDel="00000000" w:rsidP="00000000" w:rsidRDefault="00000000" w:rsidRPr="00000000" w14:paraId="00000031">
            <w:pPr>
              <w:widowControl w:val="0"/>
              <w:tabs>
                <w:tab w:val="left" w:leader="none" w:pos="540"/>
                <w:tab w:val="left" w:leader="none" w:pos="9180"/>
              </w:tabs>
              <w:jc w:val="both"/>
              <w:rPr>
                <w:b w:val="0"/>
                <w:i w:val="0"/>
                <w:color w:val="000000"/>
                <w:vertAlign w:val="baseline"/>
              </w:rPr>
            </w:pPr>
            <w:r w:rsidDel="00000000" w:rsidR="00000000" w:rsidRPr="00000000">
              <w:rPr>
                <w:rtl w:val="0"/>
              </w:rPr>
            </w:r>
          </w:p>
        </w:tc>
        <w:tc>
          <w:tcPr>
            <w:vAlign w:val="top"/>
          </w:tcPr>
          <w:p w:rsidR="00000000" w:rsidDel="00000000" w:rsidP="00000000" w:rsidRDefault="00000000" w:rsidRPr="00000000" w14:paraId="00000032">
            <w:pPr>
              <w:jc w:val="center"/>
              <w:rPr>
                <w:b w:val="0"/>
                <w:sz w:val="26"/>
                <w:szCs w:val="26"/>
                <w:vertAlign w:val="baseline"/>
              </w:rPr>
            </w:pPr>
            <w:r w:rsidDel="00000000" w:rsidR="00000000" w:rsidRPr="00000000">
              <w:rPr>
                <w:rtl w:val="0"/>
              </w:rPr>
            </w:r>
          </w:p>
        </w:tc>
      </w:tr>
    </w:tbl>
    <w:p w:rsidR="00000000" w:rsidDel="00000000" w:rsidP="00000000" w:rsidRDefault="00000000" w:rsidRPr="00000000" w14:paraId="00000033">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34">
      <w:pPr>
        <w:spacing w:line="300" w:lineRule="auto"/>
        <w:jc w:val="both"/>
        <w:rPr>
          <w:b w:val="0"/>
          <w:sz w:val="26"/>
          <w:szCs w:val="26"/>
          <w:vertAlign w:val="baseline"/>
        </w:rPr>
      </w:pPr>
      <w:r w:rsidDel="00000000" w:rsidR="00000000" w:rsidRPr="00000000">
        <w:br w:type="page"/>
      </w:r>
      <w:r w:rsidDel="00000000" w:rsidR="00000000" w:rsidRPr="00000000">
        <w:rPr>
          <w:rtl w:val="0"/>
        </w:rPr>
      </w:r>
    </w:p>
    <w:tbl>
      <w:tblPr>
        <w:tblStyle w:val="Table4"/>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35">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36">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04/2025/STH/TTr-HĐQT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37">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38">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39">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3A">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3B">
      <w:pPr>
        <w:jc w:val="center"/>
        <w:rPr>
          <w:b w:val="0"/>
          <w:sz w:val="26"/>
          <w:szCs w:val="26"/>
          <w:vertAlign w:val="baseline"/>
        </w:rPr>
      </w:pPr>
      <w:r w:rsidDel="00000000" w:rsidR="00000000" w:rsidRPr="00000000">
        <w:rPr>
          <w:b w:val="1"/>
          <w:sz w:val="26"/>
          <w:szCs w:val="26"/>
          <w:vertAlign w:val="baseline"/>
          <w:rtl w:val="0"/>
        </w:rPr>
        <w:t xml:space="preserve">Re: </w:t>
      </w:r>
      <w:r w:rsidDel="00000000" w:rsidR="00000000" w:rsidRPr="00000000">
        <w:rPr>
          <w:b w:val="1"/>
          <w:vertAlign w:val="baseline"/>
          <w:rtl w:val="0"/>
        </w:rPr>
        <w:t xml:space="preserve">Approval of the 2025 business and investment plan.</w:t>
      </w:r>
      <w:r w:rsidDel="00000000" w:rsidR="00000000" w:rsidRPr="00000000">
        <w:rPr>
          <w:rtl w:val="0"/>
        </w:rPr>
      </w:r>
    </w:p>
    <w:p w:rsidR="00000000" w:rsidDel="00000000" w:rsidP="00000000" w:rsidRDefault="00000000" w:rsidRPr="00000000" w14:paraId="0000003C">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3D">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3E">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3F">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40">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41">
      <w:pPr>
        <w:spacing w:line="300" w:lineRule="auto"/>
        <w:jc w:val="both"/>
        <w:rPr>
          <w:i w:val="0"/>
          <w:sz w:val="26"/>
          <w:szCs w:val="26"/>
          <w:vertAlign w:val="baseline"/>
        </w:rPr>
      </w:pPr>
      <w:r w:rsidDel="00000000" w:rsidR="00000000" w:rsidRPr="00000000">
        <w:rPr>
          <w:i w:val="1"/>
          <w:sz w:val="26"/>
          <w:szCs w:val="26"/>
          <w:vertAlign w:val="baseline"/>
          <w:rtl w:val="0"/>
        </w:rPr>
        <w:t xml:space="preserve">The Board of Directors of Thai Nguyen Book Distribution Joint Stock Company respectfully submits to the General Meeting of Shareholders for discussion and approval of the 2025 Business Plan, with the following key indicators:</w:t>
      </w:r>
      <w:r w:rsidDel="00000000" w:rsidR="00000000" w:rsidRPr="00000000">
        <w:rPr>
          <w:rtl w:val="0"/>
        </w:rPr>
      </w:r>
    </w:p>
    <w:p w:rsidR="00000000" w:rsidDel="00000000" w:rsidP="00000000" w:rsidRDefault="00000000" w:rsidRPr="00000000" w14:paraId="00000042">
      <w:pPr>
        <w:numPr>
          <w:ilvl w:val="0"/>
          <w:numId w:val="1"/>
        </w:numPr>
        <w:spacing w:line="300" w:lineRule="auto"/>
        <w:ind w:left="720" w:hanging="360"/>
        <w:jc w:val="both"/>
        <w:rPr>
          <w:sz w:val="26"/>
          <w:szCs w:val="26"/>
        </w:rPr>
      </w:pPr>
      <w:r w:rsidDel="00000000" w:rsidR="00000000" w:rsidRPr="00000000">
        <w:rPr>
          <w:vertAlign w:val="baseline"/>
          <w:rtl w:val="0"/>
        </w:rPr>
        <w:t xml:space="preserve">Business Plan:</w:t>
      </w:r>
      <w:r w:rsidDel="00000000" w:rsidR="00000000" w:rsidRPr="00000000">
        <w:rPr>
          <w:rtl w:val="0"/>
        </w:rPr>
      </w:r>
    </w:p>
    <w:p w:rsidR="00000000" w:rsidDel="00000000" w:rsidP="00000000" w:rsidRDefault="00000000" w:rsidRPr="00000000" w14:paraId="00000043">
      <w:pPr>
        <w:spacing w:line="312" w:lineRule="auto"/>
        <w:ind w:firstLine="567"/>
        <w:jc w:val="right"/>
        <w:rPr>
          <w:i w:val="0"/>
          <w:sz w:val="26"/>
          <w:szCs w:val="26"/>
          <w:vertAlign w:val="baseline"/>
        </w:rPr>
      </w:pPr>
      <w:r w:rsidDel="00000000" w:rsidR="00000000" w:rsidRPr="00000000">
        <w:rPr>
          <w:i w:val="1"/>
          <w:sz w:val="26"/>
          <w:szCs w:val="26"/>
          <w:vertAlign w:val="baseline"/>
          <w:rtl w:val="0"/>
        </w:rPr>
        <w:t xml:space="preserve">Unit: VND</w:t>
      </w:r>
      <w:r w:rsidDel="00000000" w:rsidR="00000000" w:rsidRPr="00000000">
        <w:rPr>
          <w:rtl w:val="0"/>
        </w:rPr>
      </w:r>
    </w:p>
    <w:tbl>
      <w:tblPr>
        <w:tblStyle w:val="Table5"/>
        <w:tblW w:w="890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2"/>
        <w:gridCol w:w="5583"/>
        <w:gridCol w:w="2616"/>
        <w:tblGridChange w:id="0">
          <w:tblGrid>
            <w:gridCol w:w="702"/>
            <w:gridCol w:w="5583"/>
            <w:gridCol w:w="2616"/>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line="312" w:lineRule="auto"/>
              <w:jc w:val="center"/>
              <w:rPr>
                <w:b w:val="0"/>
                <w:sz w:val="26"/>
                <w:szCs w:val="26"/>
                <w:vertAlign w:val="baseline"/>
              </w:rPr>
            </w:pPr>
            <w:r w:rsidDel="00000000" w:rsidR="00000000" w:rsidRPr="00000000">
              <w:rPr>
                <w:b w:val="1"/>
                <w:sz w:val="26"/>
                <w:szCs w:val="26"/>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line="312" w:lineRule="auto"/>
              <w:jc w:val="center"/>
              <w:rPr>
                <w:b w:val="0"/>
                <w:sz w:val="26"/>
                <w:szCs w:val="26"/>
                <w:vertAlign w:val="baseline"/>
              </w:rPr>
            </w:pPr>
            <w:r w:rsidDel="00000000" w:rsidR="00000000" w:rsidRPr="00000000">
              <w:rPr>
                <w:b w:val="1"/>
                <w:sz w:val="26"/>
                <w:szCs w:val="26"/>
                <w:vertAlign w:val="baseline"/>
                <w:rtl w:val="0"/>
              </w:rPr>
              <w:t xml:space="preserve">Plan Item</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46">
            <w:pPr>
              <w:spacing w:line="312" w:lineRule="auto"/>
              <w:jc w:val="center"/>
              <w:rPr>
                <w:b w:val="0"/>
                <w:sz w:val="26"/>
                <w:szCs w:val="26"/>
                <w:vertAlign w:val="baseline"/>
              </w:rPr>
            </w:pPr>
            <w:r w:rsidDel="00000000" w:rsidR="00000000" w:rsidRPr="00000000">
              <w:rPr>
                <w:b w:val="1"/>
                <w:sz w:val="26"/>
                <w:szCs w:val="26"/>
                <w:vertAlign w:val="baseline"/>
                <w:rtl w:val="0"/>
              </w:rPr>
              <w:t xml:space="preserve">Year 2025</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line="312" w:lineRule="auto"/>
              <w:jc w:val="center"/>
              <w:rPr>
                <w:sz w:val="26"/>
                <w:szCs w:val="26"/>
                <w:vertAlign w:val="baseline"/>
              </w:rPr>
            </w:pPr>
            <w:r w:rsidDel="00000000" w:rsidR="00000000" w:rsidRPr="00000000">
              <w:rPr>
                <w:sz w:val="26"/>
                <w:szCs w:val="26"/>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spacing w:line="312" w:lineRule="auto"/>
              <w:rPr>
                <w:i w:val="0"/>
                <w:sz w:val="26"/>
                <w:szCs w:val="26"/>
                <w:vertAlign w:val="baseline"/>
              </w:rPr>
            </w:pPr>
            <w:r w:rsidDel="00000000" w:rsidR="00000000" w:rsidRPr="00000000">
              <w:rPr>
                <w:i w:val="1"/>
                <w:sz w:val="26"/>
                <w:szCs w:val="26"/>
                <w:vertAlign w:val="baseline"/>
                <w:rtl w:val="0"/>
              </w:rPr>
              <w:t xml:space="preserve">Net Revenue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spacing w:line="312" w:lineRule="auto"/>
              <w:jc w:val="right"/>
              <w:rPr>
                <w:sz w:val="26"/>
                <w:szCs w:val="26"/>
                <w:vertAlign w:val="baseline"/>
              </w:rPr>
            </w:pPr>
            <w:r w:rsidDel="00000000" w:rsidR="00000000" w:rsidRPr="00000000">
              <w:rPr>
                <w:sz w:val="26"/>
                <w:szCs w:val="26"/>
                <w:vertAlign w:val="baseline"/>
                <w:rtl w:val="0"/>
              </w:rPr>
              <w:t xml:space="preserve">35.000.000.000</w:t>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line="312" w:lineRule="auto"/>
              <w:jc w:val="center"/>
              <w:rPr>
                <w:sz w:val="26"/>
                <w:szCs w:val="26"/>
                <w:vertAlign w:val="baseline"/>
              </w:rPr>
            </w:pPr>
            <w:r w:rsidDel="00000000" w:rsidR="00000000" w:rsidRPr="00000000">
              <w:rPr>
                <w:sz w:val="26"/>
                <w:szCs w:val="26"/>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line="312" w:lineRule="auto"/>
              <w:rPr>
                <w:i w:val="0"/>
                <w:sz w:val="26"/>
                <w:szCs w:val="26"/>
                <w:vertAlign w:val="baseline"/>
              </w:rPr>
            </w:pPr>
            <w:r w:rsidDel="00000000" w:rsidR="00000000" w:rsidRPr="00000000">
              <w:rPr>
                <w:i w:val="1"/>
                <w:sz w:val="26"/>
                <w:szCs w:val="26"/>
                <w:vertAlign w:val="baseline"/>
                <w:rtl w:val="0"/>
              </w:rPr>
              <w:t xml:space="preserve">Profit Before Tax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C">
            <w:pPr>
              <w:jc w:val="right"/>
              <w:rPr>
                <w:vertAlign w:val="baseline"/>
              </w:rPr>
            </w:pPr>
            <w:r w:rsidDel="00000000" w:rsidR="00000000" w:rsidRPr="00000000">
              <w:rPr>
                <w:sz w:val="26"/>
                <w:szCs w:val="26"/>
                <w:vertAlign w:val="baseline"/>
                <w:rtl w:val="0"/>
              </w:rPr>
              <w:t xml:space="preserve">1.600.000.000</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line="312" w:lineRule="auto"/>
              <w:jc w:val="center"/>
              <w:rPr>
                <w:sz w:val="26"/>
                <w:szCs w:val="26"/>
                <w:vertAlign w:val="baseline"/>
              </w:rPr>
            </w:pPr>
            <w:r w:rsidDel="00000000" w:rsidR="00000000" w:rsidRPr="00000000">
              <w:rPr>
                <w:sz w:val="26"/>
                <w:szCs w:val="26"/>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line="312" w:lineRule="auto"/>
              <w:rPr>
                <w:i w:val="0"/>
                <w:sz w:val="26"/>
                <w:szCs w:val="26"/>
                <w:vertAlign w:val="baseline"/>
              </w:rPr>
            </w:pPr>
            <w:r w:rsidDel="00000000" w:rsidR="00000000" w:rsidRPr="00000000">
              <w:rPr>
                <w:i w:val="1"/>
                <w:sz w:val="26"/>
                <w:szCs w:val="26"/>
                <w:vertAlign w:val="baseline"/>
                <w:rtl w:val="0"/>
              </w:rPr>
              <w:t xml:space="preserve">Profit After Tax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F">
            <w:pPr>
              <w:jc w:val="right"/>
              <w:rPr>
                <w:vertAlign w:val="baseline"/>
              </w:rPr>
            </w:pPr>
            <w:r w:rsidDel="00000000" w:rsidR="00000000" w:rsidRPr="00000000">
              <w:rPr>
                <w:sz w:val="26"/>
                <w:szCs w:val="26"/>
                <w:vertAlign w:val="baseline"/>
                <w:rtl w:val="0"/>
              </w:rPr>
              <w:t xml:space="preserve">1.280.000.000</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line="312" w:lineRule="auto"/>
              <w:jc w:val="center"/>
              <w:rPr>
                <w:sz w:val="26"/>
                <w:szCs w:val="26"/>
                <w:vertAlign w:val="baseline"/>
              </w:rPr>
            </w:pPr>
            <w:r w:rsidDel="00000000" w:rsidR="00000000" w:rsidRPr="00000000">
              <w:rPr>
                <w:sz w:val="26"/>
                <w:szCs w:val="26"/>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312" w:lineRule="auto"/>
              <w:rPr>
                <w:i w:val="0"/>
                <w:sz w:val="26"/>
                <w:szCs w:val="26"/>
                <w:vertAlign w:val="baseline"/>
              </w:rPr>
            </w:pPr>
            <w:r w:rsidDel="00000000" w:rsidR="00000000" w:rsidRPr="00000000">
              <w:rPr>
                <w:i w:val="1"/>
                <w:sz w:val="26"/>
                <w:szCs w:val="26"/>
                <w:vertAlign w:val="baseline"/>
                <w:rtl w:val="0"/>
              </w:rPr>
              <w:t xml:space="preserve">Charter Capital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2">
            <w:pPr>
              <w:jc w:val="right"/>
              <w:rPr>
                <w:vertAlign w:val="baseline"/>
              </w:rPr>
            </w:pPr>
            <w:r w:rsidDel="00000000" w:rsidR="00000000" w:rsidRPr="00000000">
              <w:rPr>
                <w:sz w:val="26"/>
                <w:szCs w:val="26"/>
                <w:vertAlign w:val="baseline"/>
                <w:rtl w:val="0"/>
              </w:rPr>
              <w:t xml:space="preserve">195.000.000.000</w:t>
            </w:r>
            <w:r w:rsidDel="00000000" w:rsidR="00000000" w:rsidRPr="00000000">
              <w:rPr>
                <w:rtl w:val="0"/>
              </w:rPr>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312" w:lineRule="auto"/>
              <w:jc w:val="center"/>
              <w:rPr>
                <w:sz w:val="26"/>
                <w:szCs w:val="26"/>
                <w:vertAlign w:val="baseline"/>
              </w:rPr>
            </w:pPr>
            <w:r w:rsidDel="00000000" w:rsidR="00000000" w:rsidRPr="00000000">
              <w:rPr>
                <w:sz w:val="26"/>
                <w:szCs w:val="26"/>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tabs>
                <w:tab w:val="center" w:leader="none" w:pos="1426"/>
              </w:tabs>
              <w:spacing w:line="312" w:lineRule="auto"/>
              <w:rPr>
                <w:i w:val="0"/>
                <w:sz w:val="26"/>
                <w:szCs w:val="26"/>
                <w:vertAlign w:val="baseline"/>
              </w:rPr>
            </w:pPr>
            <w:r w:rsidDel="00000000" w:rsidR="00000000" w:rsidRPr="00000000">
              <w:rPr>
                <w:i w:val="1"/>
                <w:sz w:val="26"/>
                <w:szCs w:val="26"/>
                <w:vertAlign w:val="baseline"/>
                <w:rtl w:val="0"/>
              </w:rPr>
              <w:t xml:space="preserve">Dividend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5">
            <w:pPr>
              <w:jc w:val="right"/>
              <w:rPr>
                <w:vertAlign w:val="baseline"/>
              </w:rPr>
            </w:pPr>
            <w:r w:rsidDel="00000000" w:rsidR="00000000" w:rsidRPr="00000000">
              <w:rPr>
                <w:sz w:val="26"/>
                <w:szCs w:val="26"/>
                <w:vertAlign w:val="baseline"/>
                <w:rtl w:val="0"/>
              </w:rPr>
              <w:t xml:space="preserve">0%</w:t>
            </w:r>
            <w:r w:rsidDel="00000000" w:rsidR="00000000" w:rsidRPr="00000000">
              <w:rPr>
                <w:rtl w:val="0"/>
              </w:rPr>
            </w:r>
          </w:p>
        </w:tc>
      </w:tr>
    </w:tbl>
    <w:p w:rsidR="00000000" w:rsidDel="00000000" w:rsidP="00000000" w:rsidRDefault="00000000" w:rsidRPr="00000000" w14:paraId="00000056">
      <w:pPr>
        <w:spacing w:before="120" w:line="298" w:lineRule="auto"/>
        <w:rPr>
          <w:sz w:val="26"/>
          <w:szCs w:val="26"/>
          <w:vertAlign w:val="baseline"/>
        </w:rPr>
      </w:pPr>
      <w:r w:rsidDel="00000000" w:rsidR="00000000" w:rsidRPr="00000000">
        <w:rPr>
          <w:rtl w:val="0"/>
        </w:rPr>
      </w:r>
    </w:p>
    <w:p w:rsidR="00000000" w:rsidDel="00000000" w:rsidP="00000000" w:rsidRDefault="00000000" w:rsidRPr="00000000" w14:paraId="00000057">
      <w:pPr>
        <w:numPr>
          <w:ilvl w:val="0"/>
          <w:numId w:val="3"/>
        </w:numPr>
        <w:tabs>
          <w:tab w:val="left" w:leader="none" w:pos="426"/>
        </w:tabs>
        <w:spacing w:before="240" w:lineRule="auto"/>
        <w:ind w:left="1287" w:hanging="360"/>
        <w:jc w:val="both"/>
        <w:rPr>
          <w:sz w:val="26"/>
          <w:szCs w:val="26"/>
        </w:rPr>
      </w:pPr>
      <w:r w:rsidDel="00000000" w:rsidR="00000000" w:rsidRPr="00000000">
        <w:rPr>
          <w:vertAlign w:val="baseline"/>
          <w:rtl w:val="0"/>
        </w:rPr>
        <w:t xml:space="preserve">Investment Plan:</w:t>
      </w:r>
      <w:r w:rsidDel="00000000" w:rsidR="00000000" w:rsidRPr="00000000">
        <w:rPr>
          <w:rtl w:val="0"/>
        </w:rPr>
      </w:r>
    </w:p>
    <w:p w:rsidR="00000000" w:rsidDel="00000000" w:rsidP="00000000" w:rsidRDefault="00000000" w:rsidRPr="00000000" w14:paraId="00000058">
      <w:pPr>
        <w:tabs>
          <w:tab w:val="left" w:leader="none" w:pos="426"/>
        </w:tabs>
        <w:spacing w:before="240" w:lineRule="auto"/>
        <w:jc w:val="both"/>
        <w:rPr>
          <w:sz w:val="26"/>
          <w:szCs w:val="26"/>
          <w:vertAlign w:val="baseline"/>
        </w:rPr>
      </w:pPr>
      <w:r w:rsidDel="00000000" w:rsidR="00000000" w:rsidRPr="00000000">
        <w:rPr>
          <w:sz w:val="26"/>
          <w:szCs w:val="26"/>
          <w:vertAlign w:val="baseline"/>
          <w:rtl w:val="0"/>
        </w:rPr>
        <w:tab/>
        <w:t xml:space="preserve">Continue implementation of the investment policy for constructing the new headquarters – Thai Hung Complex Tower project, as approved by the 2022 Annual General Meeting.</w:t>
      </w:r>
    </w:p>
    <w:p w:rsidR="00000000" w:rsidDel="00000000" w:rsidP="00000000" w:rsidRDefault="00000000" w:rsidRPr="00000000" w14:paraId="00000059">
      <w:pPr>
        <w:spacing w:before="120" w:line="298" w:lineRule="auto"/>
        <w:ind w:firstLine="567"/>
        <w:rPr>
          <w:sz w:val="26"/>
          <w:szCs w:val="26"/>
          <w:vertAlign w:val="baseline"/>
        </w:rPr>
      </w:pPr>
      <w:r w:rsidDel="00000000" w:rsidR="00000000" w:rsidRPr="00000000">
        <w:rPr>
          <w:sz w:val="26"/>
          <w:szCs w:val="26"/>
          <w:vertAlign w:val="baseline"/>
          <w:rtl w:val="0"/>
        </w:rPr>
        <w:t xml:space="preserve">We respectfully submit to the General Meeting of Shareholders for approval.</w:t>
      </w:r>
    </w:p>
    <w:tbl>
      <w:tblPr>
        <w:tblStyle w:val="Table6"/>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5A">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5B">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5C">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5D">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5E">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5F">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60">
            <w:pPr>
              <w:jc w:val="center"/>
              <w:rPr>
                <w:b w:val="0"/>
                <w:sz w:val="22"/>
                <w:szCs w:val="22"/>
                <w:vertAlign w:val="baseline"/>
              </w:rPr>
            </w:pPr>
            <w:r w:rsidDel="00000000" w:rsidR="00000000" w:rsidRPr="00000000">
              <w:rPr>
                <w:rtl w:val="0"/>
              </w:rPr>
            </w:r>
          </w:p>
          <w:p w:rsidR="00000000" w:rsidDel="00000000" w:rsidP="00000000" w:rsidRDefault="00000000" w:rsidRPr="00000000" w14:paraId="00000061">
            <w:pPr>
              <w:jc w:val="center"/>
              <w:rPr>
                <w:b w:val="0"/>
                <w:sz w:val="26"/>
                <w:szCs w:val="26"/>
                <w:vertAlign w:val="baseline"/>
              </w:rPr>
            </w:pPr>
            <w:r w:rsidDel="00000000" w:rsidR="00000000" w:rsidRPr="00000000">
              <w:rPr>
                <w:rtl w:val="0"/>
              </w:rPr>
            </w:r>
          </w:p>
          <w:p w:rsidR="00000000" w:rsidDel="00000000" w:rsidP="00000000" w:rsidRDefault="00000000" w:rsidRPr="00000000" w14:paraId="00000062">
            <w:pPr>
              <w:jc w:val="center"/>
              <w:rPr>
                <w:b w:val="0"/>
                <w:sz w:val="26"/>
                <w:szCs w:val="26"/>
                <w:vertAlign w:val="baseline"/>
              </w:rPr>
            </w:pPr>
            <w:r w:rsidDel="00000000" w:rsidR="00000000" w:rsidRPr="00000000">
              <w:rPr>
                <w:rtl w:val="0"/>
              </w:rPr>
            </w:r>
          </w:p>
          <w:p w:rsidR="00000000" w:rsidDel="00000000" w:rsidP="00000000" w:rsidRDefault="00000000" w:rsidRPr="00000000" w14:paraId="00000063">
            <w:pPr>
              <w:jc w:val="center"/>
              <w:rPr>
                <w:b w:val="0"/>
                <w:sz w:val="26"/>
                <w:szCs w:val="26"/>
                <w:vertAlign w:val="baseline"/>
              </w:rPr>
            </w:pPr>
            <w:r w:rsidDel="00000000" w:rsidR="00000000" w:rsidRPr="00000000">
              <w:rPr>
                <w:rtl w:val="0"/>
              </w:rPr>
            </w:r>
          </w:p>
          <w:p w:rsidR="00000000" w:rsidDel="00000000" w:rsidP="00000000" w:rsidRDefault="00000000" w:rsidRPr="00000000" w14:paraId="00000064">
            <w:pPr>
              <w:jc w:val="center"/>
              <w:rPr>
                <w:b w:val="0"/>
                <w:sz w:val="26"/>
                <w:szCs w:val="26"/>
                <w:vertAlign w:val="baseline"/>
              </w:rPr>
            </w:pPr>
            <w:r w:rsidDel="00000000" w:rsidR="00000000" w:rsidRPr="00000000">
              <w:rPr>
                <w:rtl w:val="0"/>
              </w:rPr>
            </w:r>
          </w:p>
          <w:p w:rsidR="00000000" w:rsidDel="00000000" w:rsidP="00000000" w:rsidRDefault="00000000" w:rsidRPr="00000000" w14:paraId="00000065">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66">
      <w:pPr>
        <w:spacing w:line="300" w:lineRule="auto"/>
        <w:jc w:val="both"/>
        <w:rPr>
          <w:b w:val="0"/>
          <w:sz w:val="26"/>
          <w:szCs w:val="26"/>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kế hoạch sản xuất kinh doanh năm 2025 (STH)</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
    <w:lvl w:ilvl="0">
      <w:start w:val="2"/>
      <w:numFmt w:val="decimal"/>
      <w:lvlText w:val="%1."/>
      <w:lvlJc w:val="left"/>
      <w:pPr>
        <w:ind w:left="1287" w:hanging="360.0000000000001"/>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