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356.0" w:type="dxa"/>
        <w:jc w:val="center"/>
        <w:tblLayout w:type="fixed"/>
        <w:tblLook w:val="0000"/>
      </w:tblPr>
      <w:tblGrid>
        <w:gridCol w:w="4648"/>
        <w:gridCol w:w="5708"/>
        <w:tblGridChange w:id="0">
          <w:tblGrid>
            <w:gridCol w:w="4648"/>
            <w:gridCol w:w="5708"/>
          </w:tblGrid>
        </w:tblGridChange>
      </w:tblGrid>
      <w:tr>
        <w:trPr>
          <w:cantSplit w:val="0"/>
          <w:trHeight w:val="1266" w:hRule="atLeast"/>
          <w:tblHeader w:val="0"/>
        </w:trPr>
        <w:tc>
          <w:tcPr/>
          <w:p w:rsidR="00000000" w:rsidDel="00000000" w:rsidP="00000000" w:rsidRDefault="00000000" w:rsidRPr="00000000" w14:paraId="00000002">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CÔNG TY CỔ PHẦN </w:t>
            </w:r>
          </w:p>
          <w:p w:rsidR="00000000" w:rsidDel="00000000" w:rsidP="00000000" w:rsidRDefault="00000000" w:rsidRPr="00000000" w14:paraId="00000003">
            <w:pPr>
              <w:ind w:left="37"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PHÁT HÀNH SÁCH THÁI NGUYÊN</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4">
            <w:pPr>
              <w:tabs>
                <w:tab w:val="left" w:leader="none" w:pos="4680"/>
              </w:tabs>
              <w:spacing w:befor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Số: 03/2025/STH/BC-BKS</w:t>
            </w:r>
          </w:p>
        </w:tc>
        <w:tc>
          <w:tcPr/>
          <w:p w:rsidR="00000000" w:rsidDel="00000000" w:rsidP="00000000" w:rsidRDefault="00000000" w:rsidRPr="00000000" w14:paraId="00000005">
            <w:pPr>
              <w:ind w:left="-144" w:hanging="1.999999999999993"/>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CỘNG HOÀ XÃ HỘI CHỦ NGHĨA VIỆT NAM</w:t>
            </w:r>
          </w:p>
          <w:p w:rsidR="00000000" w:rsidDel="00000000" w:rsidP="00000000" w:rsidRDefault="00000000" w:rsidRPr="00000000" w14:paraId="00000006">
            <w:pPr>
              <w:tabs>
                <w:tab w:val="left" w:leader="none" w:pos="4680"/>
              </w:tabs>
              <w:ind w:left="-144" w:hanging="1.99999999999999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Độc lập - Tự do - Hạnh phúc</w:t>
            </w:r>
          </w:p>
          <w:p w:rsidR="00000000" w:rsidDel="00000000" w:rsidP="00000000" w:rsidRDefault="00000000" w:rsidRPr="00000000" w14:paraId="00000007">
            <w:pPr>
              <w:tabs>
                <w:tab w:val="left" w:leader="none" w:pos="4680"/>
              </w:tabs>
              <w:spacing w:before="240" w:lineRule="auto"/>
              <w:ind w:left="-108"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6"/>
                <w:szCs w:val="26"/>
                <w:rtl w:val="0"/>
              </w:rPr>
              <w:t xml:space="preserve">Thái Nguyên, ngày 15 tháng 4 năm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4"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08">
      <w:pPr>
        <w:widowControl w:val="0"/>
        <w:spacing w:before="360" w:line="264"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BÁO CÁO HOẠT ĐỘNG CỦA BAN KIỂM SOÁT NĂM 2024</w:t>
      </w:r>
    </w:p>
    <w:p w:rsidR="00000000" w:rsidDel="00000000" w:rsidP="00000000" w:rsidRDefault="00000000" w:rsidRPr="00000000" w14:paraId="00000009">
      <w:pPr>
        <w:widowControl w:val="0"/>
        <w:spacing w:before="120" w:line="264"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VÀ KẾ HOẠCH HOẠT ĐỘNG  NĂM 2025</w:t>
      </w:r>
    </w:p>
    <w:p w:rsidR="00000000" w:rsidDel="00000000" w:rsidP="00000000" w:rsidRDefault="00000000" w:rsidRPr="00000000" w14:paraId="0000000A">
      <w:pPr>
        <w:widowControl w:val="0"/>
        <w:spacing w:before="120" w:line="264"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widowControl w:val="0"/>
        <w:spacing w:before="120" w:line="264"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Kính gửi Đại hội đồng cổ đông</w:t>
      </w:r>
    </w:p>
    <w:p w:rsidR="00000000" w:rsidDel="00000000" w:rsidP="00000000" w:rsidRDefault="00000000" w:rsidRPr="00000000" w14:paraId="0000000C">
      <w:pPr>
        <w:widowControl w:val="0"/>
        <w:spacing w:before="240"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Ban Kiểm soát báo cáo trước Đại hội đồng cổ đông thường niên năm 2025 về kết quả kiểm tra, giám sát  các mặt hoạt động của Công ty năm 2024 và kế hoạch hoạt động năm 2025 như sau:</w:t>
      </w:r>
    </w:p>
    <w:p w:rsidR="00000000" w:rsidDel="00000000" w:rsidP="00000000" w:rsidRDefault="00000000" w:rsidRPr="00000000" w14:paraId="0000000D">
      <w:pPr>
        <w:widowControl w:val="0"/>
        <w:spacing w:line="324"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HOẠT ĐỘNG CỦA BAN KIỂM SOÁT NĂM 2024 </w:t>
      </w:r>
    </w:p>
    <w:p w:rsidR="00000000" w:rsidDel="00000000" w:rsidP="00000000" w:rsidRDefault="00000000" w:rsidRPr="00000000" w14:paraId="0000000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284"/>
        </w:tabs>
        <w:spacing w:after="0" w:before="0" w:line="324" w:lineRule="auto"/>
        <w:ind w:left="709" w:right="0" w:hanging="72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Nhân sự của Ban Kiểm soát:</w:t>
      </w:r>
    </w:p>
    <w:p w:rsidR="00000000" w:rsidDel="00000000" w:rsidP="00000000" w:rsidRDefault="00000000" w:rsidRPr="00000000" w14:paraId="0000000F">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Trong năm 2024, Ban Kiểm soát duy trì cơ cấu gồm 3 thành viên, cụ thể như sau:</w:t>
      </w:r>
    </w:p>
    <w:tbl>
      <w:tblPr>
        <w:tblStyle w:val="Table2"/>
        <w:tblW w:w="895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8"/>
        <w:gridCol w:w="2793"/>
        <w:gridCol w:w="1962"/>
        <w:gridCol w:w="3491"/>
        <w:tblGridChange w:id="0">
          <w:tblGrid>
            <w:gridCol w:w="708"/>
            <w:gridCol w:w="2793"/>
            <w:gridCol w:w="1962"/>
            <w:gridCol w:w="3491"/>
          </w:tblGrid>
        </w:tblGridChange>
      </w:tblGrid>
      <w:tr>
        <w:trPr>
          <w:cantSplit w:val="0"/>
          <w:trHeight w:val="779" w:hRule="atLeast"/>
          <w:tblHeader w:val="1"/>
        </w:trPr>
        <w:tc>
          <w:tcPr>
            <w:vAlign w:val="center"/>
          </w:tcPr>
          <w:p w:rsidR="00000000" w:rsidDel="00000000" w:rsidP="00000000" w:rsidRDefault="00000000" w:rsidRPr="00000000" w14:paraId="00000010">
            <w:pPr>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STT</w:t>
            </w:r>
          </w:p>
        </w:tc>
        <w:tc>
          <w:tcPr>
            <w:vAlign w:val="center"/>
          </w:tcPr>
          <w:p w:rsidR="00000000" w:rsidDel="00000000" w:rsidP="00000000" w:rsidRDefault="00000000" w:rsidRPr="00000000" w14:paraId="00000011">
            <w:pPr>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Họ tên</w:t>
            </w:r>
          </w:p>
        </w:tc>
        <w:tc>
          <w:tcPr>
            <w:vAlign w:val="center"/>
          </w:tcPr>
          <w:p w:rsidR="00000000" w:rsidDel="00000000" w:rsidP="00000000" w:rsidRDefault="00000000" w:rsidRPr="00000000" w14:paraId="00000012">
            <w:pPr>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Chức danh</w:t>
            </w:r>
          </w:p>
        </w:tc>
        <w:tc>
          <w:tcPr>
            <w:vAlign w:val="center"/>
          </w:tcPr>
          <w:p w:rsidR="00000000" w:rsidDel="00000000" w:rsidP="00000000" w:rsidRDefault="00000000" w:rsidRPr="00000000" w14:paraId="00000013">
            <w:pPr>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Ghi chú</w:t>
            </w:r>
          </w:p>
        </w:tc>
      </w:tr>
      <w:tr>
        <w:trPr>
          <w:cantSplit w:val="0"/>
          <w:trHeight w:val="779" w:hRule="atLeast"/>
          <w:tblHeader w:val="0"/>
        </w:trPr>
        <w:tc>
          <w:tcPr>
            <w:vAlign w:val="center"/>
          </w:tcPr>
          <w:p w:rsidR="00000000" w:rsidDel="00000000" w:rsidP="00000000" w:rsidRDefault="00000000" w:rsidRPr="00000000" w14:paraId="00000014">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vAlign w:val="center"/>
          </w:tcPr>
          <w:p w:rsidR="00000000" w:rsidDel="00000000" w:rsidP="00000000" w:rsidRDefault="00000000" w:rsidRPr="00000000" w14:paraId="00000015">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Thị Minh</w:t>
            </w:r>
          </w:p>
        </w:tc>
        <w:tc>
          <w:tcPr>
            <w:vAlign w:val="center"/>
          </w:tcPr>
          <w:p w:rsidR="00000000" w:rsidDel="00000000" w:rsidP="00000000" w:rsidRDefault="00000000" w:rsidRPr="00000000" w14:paraId="00000016">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Trưởng Ban Kiểm soát</w:t>
            </w:r>
          </w:p>
        </w:tc>
        <w:tc>
          <w:tcPr>
            <w:vAlign w:val="center"/>
          </w:tcPr>
          <w:p w:rsidR="00000000" w:rsidDel="00000000" w:rsidP="00000000" w:rsidRDefault="00000000" w:rsidRPr="00000000" w14:paraId="00000017">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Bổ nhiệm ngày 08/05/2024</w:t>
            </w:r>
          </w:p>
        </w:tc>
      </w:tr>
      <w:tr>
        <w:trPr>
          <w:cantSplit w:val="0"/>
          <w:trHeight w:val="779" w:hRule="atLeast"/>
          <w:tblHeader w:val="0"/>
        </w:trPr>
        <w:tc>
          <w:tcPr>
            <w:vAlign w:val="center"/>
          </w:tcPr>
          <w:p w:rsidR="00000000" w:rsidDel="00000000" w:rsidP="00000000" w:rsidRDefault="00000000" w:rsidRPr="00000000" w14:paraId="00000018">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vAlign w:val="center"/>
          </w:tcPr>
          <w:p w:rsidR="00000000" w:rsidDel="00000000" w:rsidP="00000000" w:rsidRDefault="00000000" w:rsidRPr="00000000" w14:paraId="00000019">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Thị Lan Hương</w:t>
            </w:r>
          </w:p>
        </w:tc>
        <w:tc>
          <w:tcPr>
            <w:vAlign w:val="center"/>
          </w:tcPr>
          <w:p w:rsidR="00000000" w:rsidDel="00000000" w:rsidP="00000000" w:rsidRDefault="00000000" w:rsidRPr="00000000" w14:paraId="0000001A">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Thành viên Ban Kiểm soát</w:t>
            </w:r>
          </w:p>
        </w:tc>
        <w:tc>
          <w:tcPr>
            <w:vAlign w:val="center"/>
          </w:tcPr>
          <w:p w:rsidR="00000000" w:rsidDel="00000000" w:rsidP="00000000" w:rsidRDefault="00000000" w:rsidRPr="00000000" w14:paraId="0000001B">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Bổ nhiệm ngày 28/03/2023</w:t>
            </w:r>
          </w:p>
        </w:tc>
      </w:tr>
      <w:tr>
        <w:trPr>
          <w:cantSplit w:val="0"/>
          <w:trHeight w:val="779" w:hRule="atLeast"/>
          <w:tblHeader w:val="0"/>
        </w:trPr>
        <w:tc>
          <w:tcPr>
            <w:vAlign w:val="center"/>
          </w:tcPr>
          <w:p w:rsidR="00000000" w:rsidDel="00000000" w:rsidP="00000000" w:rsidRDefault="00000000" w:rsidRPr="00000000" w14:paraId="0000001C">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vAlign w:val="center"/>
          </w:tcPr>
          <w:p w:rsidR="00000000" w:rsidDel="00000000" w:rsidP="00000000" w:rsidRDefault="00000000" w:rsidRPr="00000000" w14:paraId="0000001D">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Thị Như Thùy</w:t>
            </w:r>
          </w:p>
        </w:tc>
        <w:tc>
          <w:tcPr>
            <w:vAlign w:val="center"/>
          </w:tcPr>
          <w:p w:rsidR="00000000" w:rsidDel="00000000" w:rsidP="00000000" w:rsidRDefault="00000000" w:rsidRPr="00000000" w14:paraId="0000001E">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Thành viên Ban Kiểm soát</w:t>
            </w:r>
          </w:p>
        </w:tc>
        <w:tc>
          <w:tcPr>
            <w:vAlign w:val="center"/>
          </w:tcPr>
          <w:p w:rsidR="00000000" w:rsidDel="00000000" w:rsidP="00000000" w:rsidRDefault="00000000" w:rsidRPr="00000000" w14:paraId="0000001F">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Bổ nhiệm ngày 28/03/2023</w:t>
            </w:r>
          </w:p>
        </w:tc>
      </w:tr>
    </w:tbl>
    <w:p w:rsidR="00000000" w:rsidDel="00000000" w:rsidP="00000000" w:rsidRDefault="00000000" w:rsidRPr="00000000" w14:paraId="00000020">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284"/>
        </w:tabs>
        <w:spacing w:after="0" w:before="0" w:line="324" w:lineRule="auto"/>
        <w:ind w:left="720" w:right="0" w:hanging="72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Hoạt động của Ban Kiểm soát</w:t>
      </w:r>
    </w:p>
    <w:p w:rsidR="00000000" w:rsidDel="00000000" w:rsidP="00000000" w:rsidRDefault="00000000" w:rsidRPr="00000000" w14:paraId="00000022">
      <w:pPr>
        <w:widowControl w:val="0"/>
        <w:tabs>
          <w:tab w:val="left" w:leader="none" w:pos="426"/>
        </w:tabs>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t xml:space="preserve">Trong năm 2024, các Kiểm soát viên và Ban Kiểm soát đã thực hiện kiểm tra, giám sát việc tuân thủ các quy định của pháp luật, Điều lệ tổ chức và hoạt động và các quy chế nội bộ của Công ty trong việc quản lý, điều hành hoạt động sản xuất kinh doanh của Hội đồng quản trị và Ban điều hành, cụ thể như sau:</w:t>
      </w:r>
    </w:p>
    <w:p w:rsidR="00000000" w:rsidDel="00000000" w:rsidP="00000000" w:rsidRDefault="00000000" w:rsidRPr="00000000" w14:paraId="0000002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Đánh giá hoạt động của HĐQT, Ban điều hành, thẩm định báo cáo tài chính và kết quả hoạt động sản xuất kinh doanh của Công ty năm 2024; </w:t>
      </w:r>
    </w:p>
    <w:p w:rsidR="00000000" w:rsidDel="00000000" w:rsidP="00000000" w:rsidRDefault="00000000" w:rsidRPr="00000000" w14:paraId="0000002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Phối hợp với HĐQT và Ban điều hành công ty trong công tác tổ chức ĐHĐCĐ thường niên 2024 của Công ty. </w:t>
      </w:r>
    </w:p>
    <w:p w:rsidR="00000000" w:rsidDel="00000000" w:rsidP="00000000" w:rsidRDefault="00000000" w:rsidRPr="00000000" w14:paraId="0000002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Xem xét tính pháp lý, trình tự ban hành các Nghị quyết, Quyết định của HĐQT và Tổng giám đốc của Công ty. </w:t>
      </w:r>
    </w:p>
    <w:p w:rsidR="00000000" w:rsidDel="00000000" w:rsidP="00000000" w:rsidRDefault="00000000" w:rsidRPr="00000000" w14:paraId="0000002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Giám sát, đánh giá hoạt động của HĐQT, Ban điều hành, kết quả sản xuất kinh doanh trong năm 2024; thẩm định các Báo cáo tài chính quý, bán niên và hàng năm nhằm đánh giá tính trung thực và hợp lý của các số liệu tài chính, tuân thủ các chuẩn mực và Chế độ kế toán doanh nghiệp Việt Nam, các quy định của pháp luật hiện hành; </w:t>
      </w:r>
    </w:p>
    <w:p w:rsidR="00000000" w:rsidDel="00000000" w:rsidP="00000000" w:rsidRDefault="00000000" w:rsidRPr="00000000" w14:paraId="0000002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Tham dự và tham gia ý kiến tại các cuộc họp của HĐQT, giám sát việc triển khai các nghị quyết của Đại hội đồng cổ đông, các nghị quyết/quyết định của HĐQT. </w:t>
      </w:r>
    </w:p>
    <w:p w:rsidR="00000000" w:rsidDel="00000000" w:rsidP="00000000" w:rsidRDefault="00000000" w:rsidRPr="00000000" w14:paraId="0000002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Giám sát việc công bố thông tin của công ty theo các quy định của pháp luật; </w:t>
      </w:r>
    </w:p>
    <w:p w:rsidR="00000000" w:rsidDel="00000000" w:rsidP="00000000" w:rsidRDefault="00000000" w:rsidRPr="00000000" w14:paraId="0000002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Tổ chức các cuộc họp của Ban Kiểm soát, bao gồm đánh giá hoạt động kế toán và tài chính, kết quả hoạt động kinh doanh, quản trị và điều hành của Công ty theo quý, bán niên và tổng kết năm.</w:t>
      </w:r>
    </w:p>
    <w:p w:rsidR="00000000" w:rsidDel="00000000" w:rsidP="00000000" w:rsidRDefault="00000000" w:rsidRPr="00000000" w14:paraId="0000002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Thực hiện các công tác khác theo chức năng, nhiệm vụ.</w:t>
      </w:r>
    </w:p>
    <w:p w:rsidR="00000000" w:rsidDel="00000000" w:rsidP="00000000" w:rsidRDefault="00000000" w:rsidRPr="00000000" w14:paraId="0000002B">
      <w:pPr>
        <w:widowControl w:val="0"/>
        <w:spacing w:line="324"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3. Thù lao của Ban Kiểm soát:</w:t>
      </w: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2C">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Đề nghị Quý cổ đông xem tại Tờ trình về thông qua phương án chi trả thù lao Hội đồng quản trị, Ban Kiểm soát công ty năm 2024 trình ĐHĐCĐ. </w:t>
      </w:r>
    </w:p>
    <w:p w:rsidR="00000000" w:rsidDel="00000000" w:rsidP="00000000" w:rsidRDefault="00000000" w:rsidRPr="00000000" w14:paraId="0000002D">
      <w:pPr>
        <w:widowControl w:val="0"/>
        <w:spacing w:line="324"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II</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KẾT QUẢ CÔNG TÁC GIÁM SÁT NĂM 2024</w:t>
      </w:r>
    </w:p>
    <w:p w:rsidR="00000000" w:rsidDel="00000000" w:rsidP="00000000" w:rsidRDefault="00000000" w:rsidRPr="00000000" w14:paraId="0000002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284"/>
        </w:tabs>
        <w:spacing w:after="0" w:before="0" w:line="324" w:lineRule="auto"/>
        <w:ind w:left="0" w:right="0" w:firstLine="0"/>
        <w:jc w:val="both"/>
        <w:rPr>
          <w:rFonts w:ascii="Times New Roman" w:cs="Times New Roman" w:eastAsia="Times New Roman" w:hAnsi="Times New Roman"/>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Kết quả giám sát đối với HĐQT, Ban Tổng giám đốc và Cổ đông:</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Ban kiểm soát đã thực hiện nhiệm vụ giám sát, đánh giá hoạt động của HĐQT và Ban Tổng giám đốc Công ty trong năm 2024 đảm bảo đúng phạm vi quyền hạn được quy định trong điều lệ và Quy chế hoạt động, cụ thể như sau:</w:t>
      </w:r>
    </w:p>
    <w:bookmarkStart w:colFirst="0" w:colLast="0" w:name="csunyqgbk8zu" w:id="0"/>
    <w:bookmarkEnd w:id="0"/>
    <w:p w:rsidR="00000000" w:rsidDel="00000000" w:rsidP="00000000" w:rsidRDefault="00000000" w:rsidRPr="00000000" w14:paraId="0000003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Theo dõi quá trình triển khai và kết quả thực hiện các nhiệm vụ đã được thông qua tại Nghị quyết của ĐHĐCĐ, Nghị quyết HĐQT.</w:t>
      </w:r>
    </w:p>
    <w:bookmarkStart w:colFirst="0" w:colLast="0" w:name="mgftp45edbt" w:id="1"/>
    <w:bookmarkEnd w:id="1"/>
    <w:p w:rsidR="00000000" w:rsidDel="00000000" w:rsidP="00000000" w:rsidRDefault="00000000" w:rsidRPr="00000000" w14:paraId="0000003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Tham gia hỗ trợ, đồng thời giám sát công tác tổ chức họp ĐHĐCĐ và lấy ý kiến cổ đông bằng văn bản, đảm bảo việc thực hiện tuân thủ quy định của Pháp luật.</w:t>
      </w:r>
    </w:p>
    <w:bookmarkStart w:colFirst="0" w:colLast="0" w:name="cbqmno47mnik" w:id="2"/>
    <w:bookmarkEnd w:id="2"/>
    <w:p w:rsidR="00000000" w:rsidDel="00000000" w:rsidP="00000000" w:rsidRDefault="00000000" w:rsidRPr="00000000" w14:paraId="0000003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Thẩm tra các báo cáo tài chính định kỳ của Công ty, các hợp đồng, giao dịch của Công ty. Từ đó giám sát chặt chẽ tình hình hoạt động, sản xuất kinh doanh của Công ty, nhằm phát hiện những rủi ro, sai sót, đưa ra những kiến nghị, đề xuất để HĐQT, Ban TGĐ có phương án xử lý kịp thời.</w:t>
      </w:r>
    </w:p>
    <w:bookmarkStart w:colFirst="0" w:colLast="0" w:name="5yuwz3d30603" w:id="3"/>
    <w:bookmarkEnd w:id="3"/>
    <w:p w:rsidR="00000000" w:rsidDel="00000000" w:rsidP="00000000" w:rsidRDefault="00000000" w:rsidRPr="00000000" w14:paraId="0000003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Trong năm 2024, HĐQT, Ban Tổng giám đốc và các phòng ban chức năng Công ty đã phát huy tối đa năng lực chuyên môn trong phạm vi chức năng, quyền hạn; chủ động, tích cực trong việc phối hợp, cung cấp thông tin, tài liệu theo yêu cầu của Ban kiểm soát.</w:t>
      </w:r>
    </w:p>
    <w:bookmarkStart w:colFirst="0" w:colLast="0" w:name="o2ujuiq8igmm" w:id="4"/>
    <w:bookmarkEnd w:id="4"/>
    <w:p w:rsidR="00000000" w:rsidDel="00000000" w:rsidP="00000000" w:rsidRDefault="00000000" w:rsidRPr="00000000" w14:paraId="0000003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Đối với cổ đông: Ban kiểm soát ghi nhận không có văn bản khiếu nại nào của cổ đông hoặc nhóm cổ đông về các vấn đề liên quan đến công tác quản lý, điều hành của HĐQT, Ban Tổng giám đốc và các hoạt động của Công ty trong năm 2024. </w:t>
      </w:r>
    </w:p>
    <w:p w:rsidR="00000000" w:rsidDel="00000000" w:rsidP="00000000" w:rsidRDefault="00000000" w:rsidRPr="00000000" w14:paraId="0000003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284"/>
        </w:tabs>
        <w:spacing w:after="0" w:before="0" w:line="324" w:lineRule="auto"/>
        <w:ind w:left="0" w:right="0" w:firstLine="0"/>
        <w:jc w:val="both"/>
        <w:rPr>
          <w:rFonts w:ascii="Times New Roman" w:cs="Times New Roman" w:eastAsia="Times New Roman" w:hAnsi="Times New Roman"/>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Đánh giá sự phối hợp hoạt động giữa Ban Kiểm soát với HĐQT, Ban Tổng giám đốc và các cán bộ quản lý khác.</w:t>
      </w:r>
    </w:p>
    <w:p w:rsidR="00000000" w:rsidDel="00000000" w:rsidP="00000000" w:rsidRDefault="00000000" w:rsidRPr="00000000" w14:paraId="00000036">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Ban Kiểm soát đã nhận được sự hợp tác, tạo điều kiện thuận lợi từ HĐQT, Ban Tổng giám đốc và các phòng chức năng, bộ phận nghiệp vụ để hoàn thành nhiệm vụ giám sát, kiểm tra theo quy định như việc cung cấp các thông tin tài liệu, cử các cán bộ phối hợp làm việc với Ban Kiểm soát khi có yêu cầu, tạo điều kiện cho Ban Kiểm soát tham gia các cuộc họp. Trong năm, Ban Kiểm soát tham gia đầy đủ các cuộc họp HĐQT, tham dự giao ban định kỳ hàng tháng với Ban điều hành, các phòng chức năng, bộ phận nghiệp vụ của Công ty.</w:t>
      </w:r>
    </w:p>
    <w:p w:rsidR="00000000" w:rsidDel="00000000" w:rsidP="00000000" w:rsidRDefault="00000000" w:rsidRPr="00000000" w14:paraId="00000037">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Ban kiểm soát đã thực hiện kiểm tra các báo cáo của Ban TGĐ, bao gồm báo cáo về kết quả hoạt động kinh doanh định kỳ hàng tháng, quý và phân tích báo cáo kiểm toán của Công ty, đánh giá tình hình tài chính cũng như hiệu quả hoạt động, khả năng bảo toàn, phát triển vốn và những rủi ro trọng yếu.</w:t>
      </w:r>
    </w:p>
    <w:p w:rsidR="00000000" w:rsidDel="00000000" w:rsidP="00000000" w:rsidRDefault="00000000" w:rsidRPr="00000000" w14:paraId="00000038">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Ban Kiểm soát cũng phối hợp với HĐQT và Ban điều hành trong việc tổ chức ĐHĐCĐ của Công ty, tham dự và trao đổi, thảo luận trực tiếp trong các cuộc họp ĐHĐCĐ, HĐQT và các cuộc họp khác để giám sát và xây dựng định hướng cho các hoạt động.</w:t>
      </w:r>
    </w:p>
    <w:p w:rsidR="00000000" w:rsidDel="00000000" w:rsidP="00000000" w:rsidRDefault="00000000" w:rsidRPr="00000000" w14:paraId="00000039">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Trong năm 2024, Ban kiểm soát, HĐQT và Ban tổng giám đốc Công ty đã phối hợp triển khai thành công Đại hội đồng cổ đông thường niên vào tháng 4/2024, đảm bảo thực hiện theo đúng trình tự và quy định của pháp luật hiện hành.</w:t>
      </w:r>
    </w:p>
    <w:p w:rsidR="00000000" w:rsidDel="00000000" w:rsidP="00000000" w:rsidRDefault="00000000" w:rsidRPr="00000000" w14:paraId="0000003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284"/>
        </w:tabs>
        <w:spacing w:after="0" w:before="0" w:line="324" w:lineRule="auto"/>
        <w:ind w:left="0" w:right="0" w:firstLine="0"/>
        <w:jc w:val="both"/>
        <w:rPr>
          <w:rFonts w:ascii="Times New Roman" w:cs="Times New Roman" w:eastAsia="Times New Roman" w:hAnsi="Times New Roman"/>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Thẩm định báo cáo tài chính đã được kiểm toán năm 2024</w:t>
      </w:r>
    </w:p>
    <w:p w:rsidR="00000000" w:rsidDel="00000000" w:rsidP="00000000" w:rsidRDefault="00000000" w:rsidRPr="00000000" w14:paraId="0000003B">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Báo cáo tài chính năm 2024 được kiểm toán bởi Công ty TNHH Kiểm toán Nhân Tâm Việt, đơn vị đã được Ủy ban Chứng khoán Nhà nước chấp thuận kiểm toán các Công ty đại chúng.</w:t>
      </w:r>
    </w:p>
    <w:p w:rsidR="00000000" w:rsidDel="00000000" w:rsidP="00000000" w:rsidRDefault="00000000" w:rsidRPr="00000000" w14:paraId="0000003C">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Báo cáo tài chính năm 2024 đã phản ánh trung thực và hợp lý trên các khía cạnh trọng yếu tình hình tài chính của Công ty tại thời điểm ngày 31 tháng 12 năm 2024 cũng như kết quả hoạt động kinh doanh và tình hình lưu chuyển tiền tệ cho năm tài chính kết thúc cùng ngày, phù hợp với chuẩn mực kế toán, chế độ kế toán Việt Nam và các quy định pháp lý có liên quan đến việc lập và trình bày báo cáo tài chính.</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0" w:before="0" w:line="324" w:lineRule="auto"/>
        <w:ind w:left="0" w:right="0" w:firstLine="0"/>
        <w:jc w:val="both"/>
        <w:rPr>
          <w:rFonts w:ascii="Times New Roman" w:cs="Times New Roman" w:eastAsia="Times New Roman" w:hAnsi="Times New Roman"/>
          <w:b w:val="1"/>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r w:rsidDel="00000000" w:rsidR="00000000" w:rsidRPr="00000000">
        <w:rPr>
          <w:rFonts w:ascii="Times New Roman" w:cs="Times New Roman" w:eastAsia="Times New Roman" w:hAnsi="Times New Roman"/>
          <w:b w:val="1"/>
          <w:i w:val="1"/>
          <w:smallCaps w:val="0"/>
          <w:strike w:val="0"/>
          <w:color w:val="000000"/>
          <w:sz w:val="26"/>
          <w:szCs w:val="26"/>
          <w:u w:val="none"/>
          <w:shd w:fill="auto" w:val="clear"/>
          <w:vertAlign w:val="baseline"/>
          <w:rtl w:val="0"/>
        </w:rPr>
        <w:t xml:space="preserve">Các chỉ tiêu tài chính năm 2024 tại thời điểm 31/12/2024</w:t>
      </w:r>
    </w:p>
    <w:p w:rsidR="00000000" w:rsidDel="00000000" w:rsidP="00000000" w:rsidRDefault="00000000" w:rsidRPr="00000000" w14:paraId="0000003E">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567"/>
        </w:tabs>
        <w:spacing w:after="0" w:before="0" w:line="324" w:lineRule="auto"/>
        <w:ind w:left="567" w:right="0" w:firstLine="0"/>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Về hoạt động kinh doanh</w:t>
      </w:r>
    </w:p>
    <w:p w:rsidR="00000000" w:rsidDel="00000000" w:rsidP="00000000" w:rsidRDefault="00000000" w:rsidRPr="00000000" w14:paraId="0000003F">
      <w:pPr>
        <w:widowControl w:val="0"/>
        <w:spacing w:line="312" w:lineRule="auto"/>
        <w:ind w:left="567" w:firstLine="0"/>
        <w:jc w:val="right"/>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Đơn vị tính: Triệu đồng</w:t>
      </w:r>
    </w:p>
    <w:tbl>
      <w:tblPr>
        <w:tblStyle w:val="Table3"/>
        <w:tblW w:w="895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1"/>
        <w:gridCol w:w="3469"/>
        <w:gridCol w:w="1701"/>
        <w:gridCol w:w="1559"/>
        <w:gridCol w:w="1559"/>
        <w:tblGridChange w:id="0">
          <w:tblGrid>
            <w:gridCol w:w="671"/>
            <w:gridCol w:w="3469"/>
            <w:gridCol w:w="1701"/>
            <w:gridCol w:w="1559"/>
            <w:gridCol w:w="1559"/>
          </w:tblGrid>
        </w:tblGridChange>
      </w:tblGrid>
      <w:tr>
        <w:trPr>
          <w:cantSplit w:val="0"/>
          <w:tblHeader w:val="1"/>
        </w:trPr>
        <w:tc>
          <w:tcPr/>
          <w:p w:rsidR="00000000" w:rsidDel="00000000" w:rsidP="00000000" w:rsidRDefault="00000000" w:rsidRPr="00000000" w14:paraId="00000040">
            <w:pPr>
              <w:widowControl w:val="0"/>
              <w:spacing w:before="1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STT</w:t>
            </w:r>
          </w:p>
        </w:tc>
        <w:tc>
          <w:tcPr/>
          <w:p w:rsidR="00000000" w:rsidDel="00000000" w:rsidP="00000000" w:rsidRDefault="00000000" w:rsidRPr="00000000" w14:paraId="00000041">
            <w:pPr>
              <w:widowControl w:val="0"/>
              <w:spacing w:before="16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Chỉ tiêu</w:t>
            </w:r>
          </w:p>
        </w:tc>
        <w:tc>
          <w:tcPr/>
          <w:p w:rsidR="00000000" w:rsidDel="00000000" w:rsidP="00000000" w:rsidRDefault="00000000" w:rsidRPr="00000000" w14:paraId="00000042">
            <w:pPr>
              <w:widowControl w:val="0"/>
              <w:spacing w:before="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Kế hoạch 2024</w:t>
            </w:r>
          </w:p>
        </w:tc>
        <w:tc>
          <w:tcPr/>
          <w:p w:rsidR="00000000" w:rsidDel="00000000" w:rsidP="00000000" w:rsidRDefault="00000000" w:rsidRPr="00000000" w14:paraId="00000043">
            <w:pPr>
              <w:widowControl w:val="0"/>
              <w:spacing w:before="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Thực hiện 2024</w:t>
            </w:r>
          </w:p>
        </w:tc>
        <w:tc>
          <w:tcPr/>
          <w:p w:rsidR="00000000" w:rsidDel="00000000" w:rsidP="00000000" w:rsidRDefault="00000000" w:rsidRPr="00000000" w14:paraId="00000044">
            <w:pPr>
              <w:widowControl w:val="0"/>
              <w:spacing w:before="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Tỷ lệ % TH/KH</w:t>
            </w:r>
          </w:p>
        </w:tc>
      </w:tr>
      <w:tr>
        <w:trPr>
          <w:cantSplit w:val="0"/>
          <w:tblHeader w:val="0"/>
        </w:trPr>
        <w:tc>
          <w:tcPr/>
          <w:p w:rsidR="00000000" w:rsidDel="00000000" w:rsidP="00000000" w:rsidRDefault="00000000" w:rsidRPr="00000000" w14:paraId="00000045">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p w:rsidR="00000000" w:rsidDel="00000000" w:rsidP="00000000" w:rsidRDefault="00000000" w:rsidRPr="00000000" w14:paraId="00000046">
            <w:pPr>
              <w:widowControl w:val="0"/>
              <w:spacing w:after="60" w:before="6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Doanh thu thuần</w:t>
            </w:r>
          </w:p>
        </w:tc>
        <w:tc>
          <w:tcPr/>
          <w:p w:rsidR="00000000" w:rsidDel="00000000" w:rsidP="00000000" w:rsidRDefault="00000000" w:rsidRPr="00000000" w14:paraId="00000047">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35.000</w:t>
            </w:r>
          </w:p>
        </w:tc>
        <w:tc>
          <w:tcPr/>
          <w:p w:rsidR="00000000" w:rsidDel="00000000" w:rsidP="00000000" w:rsidRDefault="00000000" w:rsidRPr="00000000" w14:paraId="00000048">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27.334</w:t>
            </w:r>
          </w:p>
        </w:tc>
        <w:tc>
          <w:tcPr/>
          <w:p w:rsidR="00000000" w:rsidDel="00000000" w:rsidP="00000000" w:rsidRDefault="00000000" w:rsidRPr="00000000" w14:paraId="00000049">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78%</w:t>
            </w:r>
          </w:p>
        </w:tc>
      </w:tr>
      <w:tr>
        <w:trPr>
          <w:cantSplit w:val="0"/>
          <w:trHeight w:val="574" w:hRule="atLeast"/>
          <w:tblHeader w:val="0"/>
        </w:trPr>
        <w:tc>
          <w:tcPr/>
          <w:p w:rsidR="00000000" w:rsidDel="00000000" w:rsidP="00000000" w:rsidRDefault="00000000" w:rsidRPr="00000000" w14:paraId="0000004A">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vAlign w:val="center"/>
          </w:tcPr>
          <w:p w:rsidR="00000000" w:rsidDel="00000000" w:rsidP="00000000" w:rsidRDefault="00000000" w:rsidRPr="00000000" w14:paraId="0000004B">
            <w:pPr>
              <w:widowControl w:val="0"/>
              <w:spacing w:after="60" w:before="6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Lợi nhuận trước thuế</w:t>
            </w:r>
          </w:p>
        </w:tc>
        <w:tc>
          <w:tcPr/>
          <w:p w:rsidR="00000000" w:rsidDel="00000000" w:rsidP="00000000" w:rsidRDefault="00000000" w:rsidRPr="00000000" w14:paraId="0000004C">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2.800</w:t>
            </w:r>
          </w:p>
        </w:tc>
        <w:tc>
          <w:tcPr/>
          <w:p w:rsidR="00000000" w:rsidDel="00000000" w:rsidP="00000000" w:rsidRDefault="00000000" w:rsidRPr="00000000" w14:paraId="0000004D">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w:t>
            </w:r>
          </w:p>
        </w:tc>
        <w:tc>
          <w:tcPr/>
          <w:p w:rsidR="00000000" w:rsidDel="00000000" w:rsidP="00000000" w:rsidRDefault="00000000" w:rsidRPr="00000000" w14:paraId="0000004E">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46%</w:t>
            </w:r>
          </w:p>
        </w:tc>
      </w:tr>
      <w:tr>
        <w:trPr>
          <w:cantSplit w:val="0"/>
          <w:tblHeader w:val="0"/>
        </w:trPr>
        <w:tc>
          <w:tcPr/>
          <w:p w:rsidR="00000000" w:rsidDel="00000000" w:rsidP="00000000" w:rsidRDefault="00000000" w:rsidRPr="00000000" w14:paraId="0000004F">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p w:rsidR="00000000" w:rsidDel="00000000" w:rsidP="00000000" w:rsidRDefault="00000000" w:rsidRPr="00000000" w14:paraId="00000050">
            <w:pPr>
              <w:widowControl w:val="0"/>
              <w:spacing w:after="60" w:before="6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Lợi nhuận sau thuế</w:t>
            </w:r>
          </w:p>
        </w:tc>
        <w:tc>
          <w:tcPr/>
          <w:p w:rsidR="00000000" w:rsidDel="00000000" w:rsidP="00000000" w:rsidRDefault="00000000" w:rsidRPr="00000000" w14:paraId="00000051">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2.240</w:t>
            </w:r>
          </w:p>
        </w:tc>
        <w:tc>
          <w:tcPr/>
          <w:p w:rsidR="00000000" w:rsidDel="00000000" w:rsidP="00000000" w:rsidRDefault="00000000" w:rsidRPr="00000000" w14:paraId="00000052">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w:t>
            </w:r>
          </w:p>
        </w:tc>
        <w:tc>
          <w:tcPr/>
          <w:p w:rsidR="00000000" w:rsidDel="00000000" w:rsidP="00000000" w:rsidRDefault="00000000" w:rsidRPr="00000000" w14:paraId="00000053">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57%</w:t>
            </w:r>
          </w:p>
        </w:tc>
      </w:tr>
    </w:tbl>
    <w:p w:rsidR="00000000" w:rsidDel="00000000" w:rsidP="00000000" w:rsidRDefault="00000000" w:rsidRPr="00000000" w14:paraId="00000054">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709"/>
        </w:tabs>
        <w:spacing w:after="0" w:before="160" w:line="312" w:lineRule="auto"/>
        <w:ind w:left="851" w:right="0" w:hanging="284"/>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Về cơ cấu tài sản và nguồn vốn:</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59" w:lineRule="auto"/>
        <w:ind w:left="0" w:right="0" w:firstLine="567"/>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Cơ cấu vốn, nguồn vốn của Công ty hiện tại là hợp lý, thể hiện khả năng độc lập, tự chủ về tài chính. Các chỉ tiêu cụ thể như sau:</w:t>
      </w:r>
    </w:p>
    <w:tbl>
      <w:tblPr>
        <w:tblStyle w:val="Table4"/>
        <w:tblW w:w="9144.0" w:type="dxa"/>
        <w:jc w:val="center"/>
        <w:tblLayout w:type="fixed"/>
        <w:tblLook w:val="0400"/>
      </w:tblPr>
      <w:tblGrid>
        <w:gridCol w:w="634"/>
        <w:gridCol w:w="4272"/>
        <w:gridCol w:w="1406"/>
        <w:gridCol w:w="1406"/>
        <w:gridCol w:w="1426"/>
        <w:tblGridChange w:id="0">
          <w:tblGrid>
            <w:gridCol w:w="634"/>
            <w:gridCol w:w="4272"/>
            <w:gridCol w:w="1406"/>
            <w:gridCol w:w="1406"/>
            <w:gridCol w:w="1426"/>
          </w:tblGrid>
        </w:tblGridChange>
      </w:tblGrid>
      <w:tr>
        <w:trPr>
          <w:cantSplit w:val="0"/>
          <w:trHeight w:val="643" w:hRule="atLeast"/>
          <w:tblHeader w:val="0"/>
        </w:trPr>
        <w:tc>
          <w:tcPr>
            <w:tcBorders>
              <w:top w:color="000000" w:space="0" w:sz="4" w:val="single"/>
              <w:left w:color="000000" w:space="0" w:sz="4" w:val="single"/>
            </w:tcBorders>
            <w:shd w:fill="ffffff" w:val="cle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4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TT</w:t>
            </w:r>
            <w:r w:rsidDel="00000000" w:rsidR="00000000" w:rsidRPr="00000000">
              <w:rPr>
                <w:rtl w:val="0"/>
              </w:rPr>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Chỉ tiêu</w:t>
            </w:r>
            <w:r w:rsidDel="00000000" w:rsidR="00000000" w:rsidRPr="00000000">
              <w:rPr>
                <w:rtl w:val="0"/>
              </w:rPr>
            </w:r>
          </w:p>
        </w:tc>
        <w:tc>
          <w:tcPr>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Năm 2023</w:t>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Năm 2024</w:t>
            </w:r>
            <w:r w:rsidDel="00000000" w:rsidR="00000000" w:rsidRPr="00000000">
              <w:rPr>
                <w:rtl w:val="0"/>
              </w:rPr>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So sánh tăng/giảm</w:t>
            </w:r>
            <w:r w:rsidDel="00000000" w:rsidR="00000000" w:rsidRPr="00000000">
              <w:rPr>
                <w:rtl w:val="0"/>
              </w:rPr>
            </w:r>
          </w:p>
        </w:tc>
      </w:tr>
      <w:tr>
        <w:trPr>
          <w:cantSplit w:val="0"/>
          <w:trHeight w:val="558" w:hRule="atLeast"/>
          <w:tblHeader w:val="0"/>
        </w:trPr>
        <w:tc>
          <w:tcPr>
            <w:tcBorders>
              <w:top w:color="000000" w:space="0" w:sz="4" w:val="single"/>
              <w:left w:color="000000" w:space="0" w:sz="4" w:val="single"/>
            </w:tcBorders>
            <w:shd w:fill="ffffff" w:val="clear"/>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w:t>
            </w:r>
            <w:r w:rsidDel="00000000" w:rsidR="00000000" w:rsidRPr="00000000">
              <w:rPr>
                <w:rtl w:val="0"/>
              </w:rPr>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Cơ cấu tài sản</w:t>
            </w: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5D">
            <w:pPr>
              <w:spacing w:after="120" w:before="120" w:line="288" w:lineRule="auto"/>
              <w:rPr>
                <w:sz w:val="10"/>
                <w:szCs w:val="10"/>
              </w:rPr>
            </w:pPr>
            <w:r w:rsidDel="00000000" w:rsidR="00000000" w:rsidRPr="00000000">
              <w:rPr>
                <w:rtl w:val="0"/>
              </w:rPr>
            </w:r>
          </w:p>
        </w:tc>
        <w:tc>
          <w:tcPr>
            <w:tcBorders>
              <w:top w:color="000000" w:space="0" w:sz="4" w:val="single"/>
              <w:left w:color="000000" w:space="0" w:sz="4" w:val="single"/>
            </w:tcBorders>
            <w:shd w:fill="ffffff" w:val="clear"/>
          </w:tcPr>
          <w:p w:rsidR="00000000" w:rsidDel="00000000" w:rsidP="00000000" w:rsidRDefault="00000000" w:rsidRPr="00000000" w14:paraId="0000005E">
            <w:pPr>
              <w:spacing w:after="120" w:before="120" w:line="288" w:lineRule="auto"/>
              <w:rPr>
                <w:sz w:val="10"/>
                <w:szCs w:val="10"/>
              </w:rPr>
            </w:pP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5F">
            <w:pPr>
              <w:spacing w:after="120" w:before="120" w:line="288" w:lineRule="auto"/>
              <w:rPr>
                <w:sz w:val="10"/>
                <w:szCs w:val="10"/>
              </w:rPr>
            </w:pPr>
            <w:r w:rsidDel="00000000" w:rsidR="00000000" w:rsidRPr="00000000">
              <w:rPr>
                <w:rtl w:val="0"/>
              </w:rPr>
            </w:r>
          </w:p>
        </w:tc>
      </w:tr>
      <w:tr>
        <w:trPr>
          <w:cantSplit w:val="0"/>
          <w:trHeight w:val="450" w:hRule="atLeast"/>
          <w:tblHeader w:val="0"/>
        </w:trPr>
        <w:tc>
          <w:tcPr>
            <w:tcBorders>
              <w:top w:color="000000" w:space="0" w:sz="4" w:val="single"/>
              <w:left w:color="000000" w:space="0" w:sz="4" w:val="single"/>
            </w:tcBorders>
            <w:shd w:fill="ffffff" w:val="clear"/>
            <w:vAlign w:val="bottom"/>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Tỷ lệ tài sản ngắn hạn/ tổng tài sản</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81,90%</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81,5%</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6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-0,49%</w:t>
            </w:r>
          </w:p>
        </w:tc>
      </w:tr>
      <w:tr>
        <w:trPr>
          <w:cantSplit w:val="0"/>
          <w:trHeight w:val="429" w:hRule="atLeast"/>
          <w:tblHeader w:val="0"/>
        </w:trPr>
        <w:tc>
          <w:tcPr>
            <w:tcBorders>
              <w:top w:color="000000" w:space="0" w:sz="4" w:val="single"/>
              <w:left w:color="000000" w:space="0" w:sz="4" w:val="single"/>
            </w:tcBorders>
            <w:shd w:fill="ffffff" w:val="clear"/>
            <w:vAlign w:val="bottom"/>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Tỷ lệ tài sản dài hạn/ tổng tài sản</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18,10%</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18,5%</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2,21%</w:t>
            </w:r>
          </w:p>
        </w:tc>
      </w:tr>
      <w:tr>
        <w:trPr>
          <w:cantSplit w:val="0"/>
          <w:trHeight w:val="536" w:hRule="atLeast"/>
          <w:tblHeader w:val="0"/>
        </w:trPr>
        <w:tc>
          <w:tcPr>
            <w:tcBorders>
              <w:top w:color="000000" w:space="0" w:sz="4" w:val="single"/>
              <w:left w:color="000000" w:space="0" w:sz="4" w:val="single"/>
            </w:tcBorders>
            <w:shd w:fill="ffffff" w:val="clear"/>
            <w:vAlign w:val="bottom"/>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II</w:t>
            </w:r>
            <w:r w:rsidDel="00000000" w:rsidR="00000000" w:rsidRPr="00000000">
              <w:rPr>
                <w:rtl w:val="0"/>
              </w:rPr>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Cơ cấu nguồn vốn</w:t>
            </w: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6C">
            <w:pPr>
              <w:spacing w:after="120" w:before="120" w:line="288" w:lineRule="auto"/>
              <w:jc w:val="center"/>
              <w:rPr>
                <w:sz w:val="10"/>
                <w:szCs w:val="10"/>
              </w:rPr>
            </w:pPr>
            <w:r w:rsidDel="00000000" w:rsidR="00000000" w:rsidRPr="00000000">
              <w:rPr>
                <w:rtl w:val="0"/>
              </w:rPr>
            </w:r>
          </w:p>
        </w:tc>
        <w:tc>
          <w:tcPr>
            <w:tcBorders>
              <w:top w:color="000000" w:space="0" w:sz="4" w:val="single"/>
              <w:left w:color="000000" w:space="0" w:sz="4" w:val="single"/>
            </w:tcBorders>
            <w:shd w:fill="ffffff" w:val="clear"/>
          </w:tcPr>
          <w:p w:rsidR="00000000" w:rsidDel="00000000" w:rsidP="00000000" w:rsidRDefault="00000000" w:rsidRPr="00000000" w14:paraId="0000006D">
            <w:pPr>
              <w:spacing w:after="120" w:before="120" w:line="288" w:lineRule="auto"/>
              <w:jc w:val="center"/>
              <w:rPr>
                <w:sz w:val="10"/>
                <w:szCs w:val="10"/>
              </w:rPr>
            </w:pP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6E">
            <w:pPr>
              <w:spacing w:after="120" w:before="120" w:line="288" w:lineRule="auto"/>
              <w:jc w:val="center"/>
              <w:rPr>
                <w:sz w:val="10"/>
                <w:szCs w:val="10"/>
              </w:rPr>
            </w:pPr>
            <w:r w:rsidDel="00000000" w:rsidR="00000000" w:rsidRPr="00000000">
              <w:rPr>
                <w:rtl w:val="0"/>
              </w:rPr>
            </w:r>
          </w:p>
        </w:tc>
      </w:tr>
      <w:tr>
        <w:trPr>
          <w:cantSplit w:val="0"/>
          <w:trHeight w:val="426" w:hRule="atLeast"/>
          <w:tblHeader w:val="0"/>
        </w:trPr>
        <w:tc>
          <w:tcPr>
            <w:tcBorders>
              <w:top w:color="000000" w:space="0" w:sz="4" w:val="single"/>
              <w:left w:color="000000" w:space="0" w:sz="4" w:val="single"/>
            </w:tcBorders>
            <w:shd w:fill="ffffff" w:val="clear"/>
            <w:vAlign w:val="bottom"/>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Tỷ lệ nợ phải trả/ tổng nguồn vốn</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6,52%</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6,86%</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6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5,21%</w:t>
            </w:r>
          </w:p>
        </w:tc>
      </w:tr>
      <w:tr>
        <w:trPr>
          <w:cantSplit w:val="0"/>
          <w:trHeight w:val="418" w:hRule="atLeast"/>
          <w:tblHeader w:val="0"/>
        </w:trPr>
        <w:tc>
          <w:tcPr>
            <w:tcBorders>
              <w:top w:color="000000" w:space="0" w:sz="4" w:val="single"/>
              <w:left w:color="000000" w:space="0" w:sz="4" w:val="single"/>
              <w:bottom w:color="000000" w:space="0" w:sz="4" w:val="single"/>
            </w:tcBorders>
            <w:shd w:fill="ffffff" w:val="clear"/>
            <w:vAlign w:val="bottom"/>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tcBorders>
              <w:top w:color="000000" w:space="0" w:sz="4" w:val="single"/>
              <w:left w:color="000000" w:space="0" w:sz="4" w:val="single"/>
              <w:bottom w:color="000000" w:space="0" w:sz="4" w:val="single"/>
            </w:tcBorders>
            <w:shd w:fill="ffffff" w:val="clear"/>
            <w:vAlign w:val="bottom"/>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Tỷ lệ vốn chủ sở hữu/ tổng nguồn vốn</w:t>
            </w:r>
          </w:p>
        </w:tc>
        <w:tc>
          <w:tcPr>
            <w:tcBorders>
              <w:top w:color="000000" w:space="0" w:sz="4" w:val="single"/>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93,48%</w:t>
            </w:r>
          </w:p>
        </w:tc>
        <w:tc>
          <w:tcPr>
            <w:tcBorders>
              <w:top w:color="000000" w:space="0" w:sz="4" w:val="single"/>
              <w:left w:color="000000" w:space="0" w:sz="4" w:val="single"/>
              <w:bottom w:color="000000" w:space="0" w:sz="4" w:val="single"/>
            </w:tcBorders>
            <w:shd w:fill="ffffff" w:val="clear"/>
            <w:vAlign w:val="bottom"/>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93,14%</w:t>
            </w:r>
          </w:p>
        </w:tc>
        <w:tc>
          <w:tcPr>
            <w:tcBorders>
              <w:top w:color="000000" w:space="0" w:sz="4" w:val="single"/>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6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-0,36%</w:t>
            </w:r>
          </w:p>
        </w:tc>
      </w:tr>
    </w:tbl>
    <w:p w:rsidR="00000000" w:rsidDel="00000000" w:rsidP="00000000" w:rsidRDefault="00000000" w:rsidRPr="00000000" w14:paraId="00000079">
      <w:pPr>
        <w:widowControl w:val="0"/>
        <w:spacing w:before="200" w:line="288"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III. KẾ HOẠCH HOẠT ĐỘNG NĂM 2025 CỦA BAN KIỂM SOÁT</w:t>
      </w:r>
    </w:p>
    <w:p w:rsidR="00000000" w:rsidDel="00000000" w:rsidP="00000000" w:rsidRDefault="00000000" w:rsidRPr="00000000" w14:paraId="0000007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88"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Lập chương trình kế hoạch hoạt động của Ban Kiểm soát cho năm 2025. Phân công nhiệm vụ cho các thành viên Ban Kiểm soát và tổ chức thực hiện giám sát việc hoạt động kinh doanh của Công ty theo quyền và nhiệm vụ của Ban Kiểm soát.</w:t>
      </w:r>
    </w:p>
    <w:p w:rsidR="00000000" w:rsidDel="00000000" w:rsidP="00000000" w:rsidRDefault="00000000" w:rsidRPr="00000000" w14:paraId="0000007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88"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Giám sát việc chấp hành các quy định của Pháp luật, Điều lệ tổ chức hoạt động, tình hình thực hiện các Quy chế, Nghị quyết của Đại hội đồng cổ đông của Hội đồng quản trị, Ban Tổng giám đốc Tổng công ty. </w:t>
      </w:r>
    </w:p>
    <w:p w:rsidR="00000000" w:rsidDel="00000000" w:rsidP="00000000" w:rsidRDefault="00000000" w:rsidRPr="00000000" w14:paraId="0000007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88"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Thực hiện họp Ban Kiểm soát định kỳ hàng quý, chủ động, tích cực tham gia vào các buổi họp của HĐQT, Ban Tổng Giám đốc và đưa ra các ý kiến đóng góp, phản biện, phòng ngừa rủi ro hiệu quả. </w:t>
      </w:r>
    </w:p>
    <w:p w:rsidR="00000000" w:rsidDel="00000000" w:rsidP="00000000" w:rsidRDefault="00000000" w:rsidRPr="00000000" w14:paraId="0000007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88"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Chú trọng công tác rà soát rủi ro trong việc thực hiện nhiệm vụ kiểm tra/giám sát các hoạt động điều hành, quản lý kinh doanh nhằm nâng cao hiệu quả sử dụng và an toàn vốn.</w:t>
      </w:r>
    </w:p>
    <w:p w:rsidR="00000000" w:rsidDel="00000000" w:rsidP="00000000" w:rsidRDefault="00000000" w:rsidRPr="00000000" w14:paraId="0000007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88"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Thực hiện thẩm định báo cáo tài chính quý, bán niên và thường niên năm 2025.</w:t>
      </w:r>
    </w:p>
    <w:p w:rsidR="00000000" w:rsidDel="00000000" w:rsidP="00000000" w:rsidRDefault="00000000" w:rsidRPr="00000000" w14:paraId="0000007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88"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Thực hiện các nhiệm vụ theo đúng chức năng đã được quy định theo Luật Doanh nghiệp và Điều lệ Công ty.</w:t>
      </w:r>
    </w:p>
    <w:p w:rsidR="00000000" w:rsidDel="00000000" w:rsidP="00000000" w:rsidRDefault="00000000" w:rsidRPr="00000000" w14:paraId="00000080">
      <w:pPr>
        <w:widowControl w:val="0"/>
        <w:spacing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Trên đây là báo cáo hoạt động năm 2024, kế hoạch hoạt động năm 2025 của Ban Kiểm soát.</w:t>
      </w:r>
    </w:p>
    <w:p w:rsidR="00000000" w:rsidDel="00000000" w:rsidP="00000000" w:rsidRDefault="00000000" w:rsidRPr="00000000" w14:paraId="00000081">
      <w:pPr>
        <w:widowControl w:val="0"/>
        <w:spacing w:after="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Kính trình Đại hội xem xét và thông qua.</w:t>
      </w:r>
    </w:p>
    <w:tbl>
      <w:tblPr>
        <w:tblStyle w:val="Table5"/>
        <w:tblW w:w="9072.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00"/>
        <w:gridCol w:w="4572"/>
        <w:tblGridChange w:id="0">
          <w:tblGrid>
            <w:gridCol w:w="4500"/>
            <w:gridCol w:w="4572"/>
          </w:tblGrid>
        </w:tblGridChange>
      </w:tblGrid>
      <w:tr>
        <w:trPr>
          <w:cantSplit w:val="0"/>
          <w:trHeight w:val="2684" w:hRule="atLeast"/>
          <w:tblHeader w:val="0"/>
        </w:trPr>
        <w:tc>
          <w:tcPr/>
          <w:p w:rsidR="00000000" w:rsidDel="00000000" w:rsidP="00000000" w:rsidRDefault="00000000" w:rsidRPr="00000000" w14:paraId="00000082">
            <w:pPr>
              <w:widowControl w:val="0"/>
              <w:spacing w:line="312" w:lineRule="auto"/>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83">
            <w:pPr>
              <w:widowControl w:val="0"/>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TM. BAN KIỂM SOÁT</w:t>
            </w:r>
          </w:p>
          <w:p w:rsidR="00000000" w:rsidDel="00000000" w:rsidP="00000000" w:rsidRDefault="00000000" w:rsidRPr="00000000" w14:paraId="00000084">
            <w:pPr>
              <w:widowControl w:val="0"/>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TRƯỞNG BAN</w:t>
            </w:r>
          </w:p>
          <w:p w:rsidR="00000000" w:rsidDel="00000000" w:rsidP="00000000" w:rsidRDefault="00000000" w:rsidRPr="00000000" w14:paraId="00000085">
            <w:pPr>
              <w:widowControl w:val="0"/>
              <w:spacing w:line="312" w:lineRule="auto"/>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86">
            <w:pPr>
              <w:widowControl w:val="0"/>
              <w:spacing w:line="312" w:lineRule="auto"/>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87">
            <w:pPr>
              <w:widowControl w:val="0"/>
              <w:spacing w:line="312"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88">
            <w:pPr>
              <w:widowControl w:val="0"/>
              <w:spacing w:line="312" w:lineRule="auto"/>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89">
            <w:pPr>
              <w:widowControl w:val="0"/>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Nguyễn Thị Minh</w:t>
            </w:r>
          </w:p>
        </w:tc>
      </w:tr>
    </w:tbl>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6"/>
          <w:szCs w:val="26"/>
        </w:rPr>
      </w:pPr>
      <w:r w:rsidDel="00000000" w:rsidR="00000000" w:rsidRPr="00000000">
        <w:rPr>
          <w:rtl w:val="0"/>
        </w:rPr>
      </w:r>
    </w:p>
    <w:tbl>
      <w:tblPr>
        <w:tblStyle w:val="Table6"/>
        <w:tblW w:w="10356.0" w:type="dxa"/>
        <w:jc w:val="center"/>
        <w:tblLayout w:type="fixed"/>
        <w:tblLook w:val="0000"/>
      </w:tblPr>
      <w:tblGrid>
        <w:gridCol w:w="4648"/>
        <w:gridCol w:w="5708"/>
        <w:tblGridChange w:id="0">
          <w:tblGrid>
            <w:gridCol w:w="4648"/>
            <w:gridCol w:w="5708"/>
          </w:tblGrid>
        </w:tblGridChange>
      </w:tblGrid>
      <w:tr>
        <w:trPr>
          <w:cantSplit w:val="0"/>
          <w:trHeight w:val="1266" w:hRule="atLeast"/>
          <w:tblHeader w:val="0"/>
        </w:trPr>
        <w:tc>
          <w:tcPr/>
          <w:p w:rsidR="00000000" w:rsidDel="00000000" w:rsidP="00000000" w:rsidRDefault="00000000" w:rsidRPr="00000000" w14:paraId="0000008B">
            <w:pPr>
              <w:widowControl w:val="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THAI NGUYEN BOOK PUBLISHING JOINT STOCK COMPANY</w:t>
            </w:r>
          </w:p>
          <w:p w:rsidR="00000000" w:rsidDel="00000000" w:rsidP="00000000" w:rsidRDefault="00000000" w:rsidRPr="00000000" w14:paraId="0000008C">
            <w:pPr>
              <w:tabs>
                <w:tab w:val="left" w:leader="none" w:pos="4680"/>
              </w:tabs>
              <w:spacing w:befor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No: 01/2025/STH/BC-HĐQT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30496</wp:posOffset>
                      </wp:positionV>
                      <wp:extent cx="1321435" cy="12700"/>
                      <wp:effectExtent b="0" l="0" r="0" t="0"/>
                      <wp:wrapNone/>
                      <wp:docPr id="2"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30496</wp:posOffset>
                      </wp:positionV>
                      <wp:extent cx="132143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p w:rsidR="00000000" w:rsidDel="00000000" w:rsidP="00000000" w:rsidRDefault="00000000" w:rsidRPr="00000000" w14:paraId="0000008D">
            <w:pPr>
              <w:widowControl w:val="0"/>
              <w:tabs>
                <w:tab w:val="left" w:leader="none" w:pos="4680"/>
              </w:tabs>
              <w:ind w:left="-87"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SOCIALIST REPUBLIC OF VIETNAM</w:t>
            </w:r>
          </w:p>
          <w:p w:rsidR="00000000" w:rsidDel="00000000" w:rsidP="00000000" w:rsidRDefault="00000000" w:rsidRPr="00000000" w14:paraId="0000008E">
            <w:pPr>
              <w:widowControl w:val="0"/>
              <w:tabs>
                <w:tab w:val="left" w:leader="none" w:pos="4680"/>
              </w:tabs>
              <w:ind w:left="-87"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Independence – Freedom – Happiness</w:t>
            </w:r>
          </w:p>
          <w:p w:rsidR="00000000" w:rsidDel="00000000" w:rsidP="00000000" w:rsidRDefault="00000000" w:rsidRPr="00000000" w14:paraId="0000008F">
            <w:pPr>
              <w:tabs>
                <w:tab w:val="left" w:leader="none" w:pos="4680"/>
              </w:tabs>
              <w:spacing w:before="240" w:lineRule="auto"/>
              <w:ind w:left="-108"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6"/>
                <w:szCs w:val="26"/>
                <w:rtl w:val="0"/>
              </w:rPr>
              <w:t xml:space="preserve">Thai Nguyen, April 15,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30496</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30496</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90">
      <w:pPr>
        <w:widowControl w:val="0"/>
        <w:spacing w:before="360" w:line="264"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REPORT ON THE ACTIVITIES OF THE SUPERVISORY BOARD IN 2024 AND OPERATION PLAN FOR 2025</w:t>
      </w:r>
    </w:p>
    <w:p w:rsidR="00000000" w:rsidDel="00000000" w:rsidP="00000000" w:rsidRDefault="00000000" w:rsidRPr="00000000" w14:paraId="00000091">
      <w:pPr>
        <w:widowControl w:val="0"/>
        <w:spacing w:before="120" w:line="264"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To: The General Meeting of Shareholders</w:t>
      </w:r>
    </w:p>
    <w:p w:rsidR="00000000" w:rsidDel="00000000" w:rsidP="00000000" w:rsidRDefault="00000000" w:rsidRPr="00000000" w14:paraId="00000092">
      <w:pPr>
        <w:widowControl w:val="0"/>
        <w:spacing w:before="240"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Supervisory Board respectfully reports to the 2025 Annual General Meeting of Shareholders on the inspection and supervision results of the Company's operations in 2024 and the operational plan for 2025 as follows:</w:t>
      </w:r>
    </w:p>
    <w:p w:rsidR="00000000" w:rsidDel="00000000" w:rsidP="00000000" w:rsidRDefault="00000000" w:rsidRPr="00000000" w14:paraId="00000093">
      <w:pPr>
        <w:widowControl w:val="0"/>
        <w:spacing w:line="324"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 ACTIVITIES OF THE SUPERVISORY BOARD IN 2024 </w:t>
      </w:r>
    </w:p>
    <w:p w:rsidR="00000000" w:rsidDel="00000000" w:rsidP="00000000" w:rsidRDefault="00000000" w:rsidRPr="00000000" w14:paraId="0000009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284"/>
        </w:tabs>
        <w:spacing w:after="0" w:before="0" w:line="324" w:lineRule="auto"/>
        <w:ind w:left="360" w:right="0" w:hanging="36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Personnel of the Supervisory Board:</w:t>
      </w:r>
    </w:p>
    <w:p w:rsidR="00000000" w:rsidDel="00000000" w:rsidP="00000000" w:rsidRDefault="00000000" w:rsidRPr="00000000" w14:paraId="00000095">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2024, the Supervisory Board maintained a structure of 3 members, specifically:</w:t>
      </w:r>
    </w:p>
    <w:tbl>
      <w:tblPr>
        <w:tblStyle w:val="Table7"/>
        <w:tblW w:w="895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8"/>
        <w:gridCol w:w="2793"/>
        <w:gridCol w:w="1962"/>
        <w:gridCol w:w="3491"/>
        <w:tblGridChange w:id="0">
          <w:tblGrid>
            <w:gridCol w:w="708"/>
            <w:gridCol w:w="2793"/>
            <w:gridCol w:w="1962"/>
            <w:gridCol w:w="3491"/>
          </w:tblGrid>
        </w:tblGridChange>
      </w:tblGrid>
      <w:tr>
        <w:trPr>
          <w:cantSplit w:val="0"/>
          <w:trHeight w:val="779" w:hRule="atLeast"/>
          <w:tblHeader w:val="1"/>
        </w:trPr>
        <w:tc>
          <w:tcPr>
            <w:vAlign w:val="center"/>
          </w:tcPr>
          <w:p w:rsidR="00000000" w:rsidDel="00000000" w:rsidP="00000000" w:rsidRDefault="00000000" w:rsidRPr="00000000" w14:paraId="00000096">
            <w:pPr>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w:t>
            </w:r>
          </w:p>
        </w:tc>
        <w:tc>
          <w:tcPr>
            <w:vAlign w:val="center"/>
          </w:tcPr>
          <w:p w:rsidR="00000000" w:rsidDel="00000000" w:rsidP="00000000" w:rsidRDefault="00000000" w:rsidRPr="00000000" w14:paraId="00000097">
            <w:pPr>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Full name</w:t>
            </w:r>
          </w:p>
        </w:tc>
        <w:tc>
          <w:tcPr>
            <w:vAlign w:val="center"/>
          </w:tcPr>
          <w:p w:rsidR="00000000" w:rsidDel="00000000" w:rsidP="00000000" w:rsidRDefault="00000000" w:rsidRPr="00000000" w14:paraId="00000098">
            <w:pPr>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Title</w:t>
            </w:r>
          </w:p>
        </w:tc>
        <w:tc>
          <w:tcPr>
            <w:vAlign w:val="center"/>
          </w:tcPr>
          <w:p w:rsidR="00000000" w:rsidDel="00000000" w:rsidP="00000000" w:rsidRDefault="00000000" w:rsidRPr="00000000" w14:paraId="00000099">
            <w:pPr>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Notes</w:t>
            </w:r>
          </w:p>
        </w:tc>
      </w:tr>
      <w:tr>
        <w:trPr>
          <w:cantSplit w:val="0"/>
          <w:trHeight w:val="779" w:hRule="atLeast"/>
          <w:tblHeader w:val="0"/>
        </w:trPr>
        <w:tc>
          <w:tcPr>
            <w:vAlign w:val="center"/>
          </w:tcPr>
          <w:p w:rsidR="00000000" w:rsidDel="00000000" w:rsidP="00000000" w:rsidRDefault="00000000" w:rsidRPr="00000000" w14:paraId="0000009A">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vAlign w:val="center"/>
          </w:tcPr>
          <w:p w:rsidR="00000000" w:rsidDel="00000000" w:rsidP="00000000" w:rsidRDefault="00000000" w:rsidRPr="00000000" w14:paraId="0000009B">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Thị Minh</w:t>
            </w:r>
          </w:p>
        </w:tc>
        <w:tc>
          <w:tcPr>
            <w:vAlign w:val="center"/>
          </w:tcPr>
          <w:p w:rsidR="00000000" w:rsidDel="00000000" w:rsidP="00000000" w:rsidRDefault="00000000" w:rsidRPr="00000000" w14:paraId="0000009C">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Head of the Supervisory Board</w:t>
            </w:r>
          </w:p>
        </w:tc>
        <w:tc>
          <w:tcPr>
            <w:vAlign w:val="center"/>
          </w:tcPr>
          <w:p w:rsidR="00000000" w:rsidDel="00000000" w:rsidP="00000000" w:rsidRDefault="00000000" w:rsidRPr="00000000" w14:paraId="0000009D">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Appointed on 08/05/2024</w:t>
            </w:r>
          </w:p>
        </w:tc>
      </w:tr>
      <w:tr>
        <w:trPr>
          <w:cantSplit w:val="0"/>
          <w:trHeight w:val="779" w:hRule="atLeast"/>
          <w:tblHeader w:val="0"/>
        </w:trPr>
        <w:tc>
          <w:tcPr>
            <w:vAlign w:val="center"/>
          </w:tcPr>
          <w:p w:rsidR="00000000" w:rsidDel="00000000" w:rsidP="00000000" w:rsidRDefault="00000000" w:rsidRPr="00000000" w14:paraId="0000009E">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vAlign w:val="center"/>
          </w:tcPr>
          <w:p w:rsidR="00000000" w:rsidDel="00000000" w:rsidP="00000000" w:rsidRDefault="00000000" w:rsidRPr="00000000" w14:paraId="0000009F">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Thị Lan Hương</w:t>
            </w:r>
          </w:p>
        </w:tc>
        <w:tc>
          <w:tcPr>
            <w:vAlign w:val="center"/>
          </w:tcPr>
          <w:p w:rsidR="00000000" w:rsidDel="00000000" w:rsidP="00000000" w:rsidRDefault="00000000" w:rsidRPr="00000000" w14:paraId="000000A0">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Member of the Supervisory Board</w:t>
            </w:r>
          </w:p>
        </w:tc>
        <w:tc>
          <w:tcPr>
            <w:vAlign w:val="center"/>
          </w:tcPr>
          <w:p w:rsidR="00000000" w:rsidDel="00000000" w:rsidP="00000000" w:rsidRDefault="00000000" w:rsidRPr="00000000" w14:paraId="000000A1">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Appointed on 28/03/2023</w:t>
            </w:r>
          </w:p>
        </w:tc>
      </w:tr>
      <w:tr>
        <w:trPr>
          <w:cantSplit w:val="0"/>
          <w:trHeight w:val="779" w:hRule="atLeast"/>
          <w:tblHeader w:val="0"/>
        </w:trPr>
        <w:tc>
          <w:tcPr>
            <w:vAlign w:val="center"/>
          </w:tcPr>
          <w:p w:rsidR="00000000" w:rsidDel="00000000" w:rsidP="00000000" w:rsidRDefault="00000000" w:rsidRPr="00000000" w14:paraId="000000A2">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vAlign w:val="center"/>
          </w:tcPr>
          <w:p w:rsidR="00000000" w:rsidDel="00000000" w:rsidP="00000000" w:rsidRDefault="00000000" w:rsidRPr="00000000" w14:paraId="000000A3">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Thị Như Thùy</w:t>
            </w:r>
          </w:p>
        </w:tc>
        <w:tc>
          <w:tcPr>
            <w:vAlign w:val="center"/>
          </w:tcPr>
          <w:p w:rsidR="00000000" w:rsidDel="00000000" w:rsidP="00000000" w:rsidRDefault="00000000" w:rsidRPr="00000000" w14:paraId="000000A4">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Member of the Supervisory Board</w:t>
            </w:r>
          </w:p>
        </w:tc>
        <w:tc>
          <w:tcPr>
            <w:vAlign w:val="center"/>
          </w:tcPr>
          <w:p w:rsidR="00000000" w:rsidDel="00000000" w:rsidP="00000000" w:rsidRDefault="00000000" w:rsidRPr="00000000" w14:paraId="000000A5">
            <w:pPr>
              <w:spacing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Appointed on 28/03/2023</w:t>
            </w:r>
          </w:p>
        </w:tc>
      </w:tr>
    </w:tbl>
    <w:p w:rsidR="00000000" w:rsidDel="00000000" w:rsidP="00000000" w:rsidRDefault="00000000" w:rsidRPr="00000000" w14:paraId="000000A6">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284"/>
        </w:tabs>
        <w:spacing w:after="0" w:before="0" w:line="324" w:lineRule="auto"/>
        <w:ind w:left="360" w:right="0" w:hanging="36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Activities of the Supervisory Board</w:t>
      </w:r>
    </w:p>
    <w:p w:rsidR="00000000" w:rsidDel="00000000" w:rsidP="00000000" w:rsidRDefault="00000000" w:rsidRPr="00000000" w14:paraId="000000A8">
      <w:pPr>
        <w:widowControl w:val="0"/>
        <w:tabs>
          <w:tab w:val="left" w:leader="none" w:pos="426"/>
        </w:tabs>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t xml:space="preserve">In 2024, the Supervisors and the Supervisory Board carried out inspection and supervision of compliance with legal regulations, the Company’s Charter, and internal regulations in the management and business operations conducted by the Board of Directors and the Executive Board, specifically:</w:t>
      </w:r>
    </w:p>
    <w:p w:rsidR="00000000" w:rsidDel="00000000" w:rsidP="00000000" w:rsidRDefault="00000000" w:rsidRPr="00000000" w14:paraId="000000A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Evaluated the activities of the Board of Directors and the Executive Board; reviewed the financial statements and production–business performance in 2024;</w:t>
      </w:r>
    </w:p>
    <w:p w:rsidR="00000000" w:rsidDel="00000000" w:rsidP="00000000" w:rsidRDefault="00000000" w:rsidRPr="00000000" w14:paraId="000000A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Coordinated with the BOD and Executive Board in organizing the 2024 Annual General Meeting of Shareholders;</w:t>
      </w:r>
    </w:p>
    <w:p w:rsidR="00000000" w:rsidDel="00000000" w:rsidP="00000000" w:rsidRDefault="00000000" w:rsidRPr="00000000" w14:paraId="000000A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Reviewed the legality and issuance procedures of BOD and General Director’s Resolutions and Decisions;</w:t>
      </w:r>
    </w:p>
    <w:p w:rsidR="00000000" w:rsidDel="00000000" w:rsidP="00000000" w:rsidRDefault="00000000" w:rsidRPr="00000000" w14:paraId="000000A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Supervised and evaluated the business results in 2024; reviewed quarterly, semi-annual, and annual financial statements to assess the truthfulness and compliance with Vietnamese Accounting Standards and legal provisions;</w:t>
      </w:r>
    </w:p>
    <w:p w:rsidR="00000000" w:rsidDel="00000000" w:rsidP="00000000" w:rsidRDefault="00000000" w:rsidRPr="00000000" w14:paraId="000000A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Attended and gave opinions in BOD meetings; supervised the implementation of resolutions passed by the General Meeting of Shareholders and the BOD;</w:t>
      </w:r>
    </w:p>
    <w:p w:rsidR="00000000" w:rsidDel="00000000" w:rsidP="00000000" w:rsidRDefault="00000000" w:rsidRPr="00000000" w14:paraId="000000A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Supervised the Company’s information disclosure in accordance with legal requirements;</w:t>
      </w:r>
    </w:p>
    <w:p w:rsidR="00000000" w:rsidDel="00000000" w:rsidP="00000000" w:rsidRDefault="00000000" w:rsidRPr="00000000" w14:paraId="000000A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Held Supervisory Board meetings to assess accounting, finance, business performance, and governance quarterly, semi-annually, and annually;</w:t>
      </w:r>
    </w:p>
    <w:p w:rsidR="00000000" w:rsidDel="00000000" w:rsidP="00000000" w:rsidRDefault="00000000" w:rsidRPr="00000000" w14:paraId="000000B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0" w:right="0" w:firstLine="567"/>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Performed other tasks in accordance with assigned functions and duties.</w:t>
      </w:r>
    </w:p>
    <w:p w:rsidR="00000000" w:rsidDel="00000000" w:rsidP="00000000" w:rsidRDefault="00000000" w:rsidRPr="00000000" w14:paraId="000000B1">
      <w:pPr>
        <w:widowControl w:val="0"/>
        <w:spacing w:line="324"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3. Remuneration of the Supervisory Board:</w:t>
      </w: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B2">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Please refer to the Proposal on the payment plan for remuneration of the Board of Directors and Supervisory Board in 2024 submitted to the AGM.</w:t>
      </w:r>
    </w:p>
    <w:p w:rsidR="00000000" w:rsidDel="00000000" w:rsidP="00000000" w:rsidRDefault="00000000" w:rsidRPr="00000000" w14:paraId="000000B3">
      <w:pPr>
        <w:widowControl w:val="0"/>
        <w:spacing w:line="324"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II</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SUPERVISION RESULTS IN 2024</w:t>
      </w:r>
    </w:p>
    <w:p w:rsidR="00000000" w:rsidDel="00000000" w:rsidP="00000000" w:rsidRDefault="00000000" w:rsidRPr="00000000" w14:paraId="000000B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284"/>
        </w:tabs>
        <w:spacing w:after="0" w:before="0" w:line="324" w:lineRule="auto"/>
        <w:ind w:left="360" w:right="0" w:hanging="360"/>
        <w:jc w:val="both"/>
        <w:rPr>
          <w:rFonts w:ascii="Times New Roman" w:cs="Times New Roman" w:eastAsia="Times New Roman" w:hAnsi="Times New Roman"/>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Supervision of the BOD, Executive Board, and Shareholders:</w:t>
      </w: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Ban kiểm soát đã thực hiện nhiệm vụ giám sát, đánh giá hoạt động của HĐQT và Ban Tổng giám đốc Công ty trong năm 2024 đảm bảo đúng phạm vi quyền hạn được quy định trong điều lệ và Quy chế hoạt động, cụ thể như sau:</w:t>
      </w:r>
    </w:p>
    <w:p w:rsidR="00000000" w:rsidDel="00000000" w:rsidP="00000000" w:rsidRDefault="00000000" w:rsidRPr="00000000" w14:paraId="000000B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720" w:right="0" w:hanging="360"/>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The Supervisory Board carried out its supervision and evaluation of the BOD and Executive Board in 2024 in accordance with its authority and regulations in the Company Charter and Operational Rules.</w:t>
      </w:r>
    </w:p>
    <w:p w:rsidR="00000000" w:rsidDel="00000000" w:rsidP="00000000" w:rsidRDefault="00000000" w:rsidRPr="00000000" w14:paraId="000000B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720" w:right="0" w:hanging="360"/>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Monitored the implementation and outcomes of tasks approved by resolutions of the AGM and the BOD;</w:t>
      </w:r>
    </w:p>
    <w:p w:rsidR="00000000" w:rsidDel="00000000" w:rsidP="00000000" w:rsidRDefault="00000000" w:rsidRPr="00000000" w14:paraId="000000B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720" w:right="0" w:hanging="360"/>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Participated in and supervised the organization of the AGM and shareholder consultations in writing, ensuring compliance with laws;</w:t>
      </w:r>
    </w:p>
    <w:p w:rsidR="00000000" w:rsidDel="00000000" w:rsidP="00000000" w:rsidRDefault="00000000" w:rsidRPr="00000000" w14:paraId="000000B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720" w:right="0" w:hanging="360"/>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Examined periodic financial reports, contracts, and transactions to monitor business activities, identify risks or errors, and provide recommendations to the BOD and Executive Board for timely handling;</w:t>
      </w:r>
    </w:p>
    <w:p w:rsidR="00000000" w:rsidDel="00000000" w:rsidP="00000000" w:rsidRDefault="00000000" w:rsidRPr="00000000" w14:paraId="000000B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720" w:right="0" w:hanging="360"/>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In 2024, the BOD, Executive Board, and functional departments demonstrated strong coordination and proactively provided information and documentation as requested by the Supervisory Board;</w:t>
      </w:r>
    </w:p>
    <w:p w:rsidR="00000000" w:rsidDel="00000000" w:rsidP="00000000" w:rsidRDefault="00000000" w:rsidRPr="00000000" w14:paraId="000000B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6"/>
        </w:tabs>
        <w:spacing w:after="0" w:before="0" w:line="324" w:lineRule="auto"/>
        <w:ind w:left="720" w:right="0" w:hanging="360"/>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Regarding shareholders: The Supervisory Board received no complaints from any shareholder or group of shareholders regarding corporate governance or management activities during 2024.</w:t>
      </w:r>
    </w:p>
    <w:p w:rsidR="00000000" w:rsidDel="00000000" w:rsidP="00000000" w:rsidRDefault="00000000" w:rsidRPr="00000000" w14:paraId="000000B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284"/>
        </w:tabs>
        <w:spacing w:after="0" w:before="0" w:line="324" w:lineRule="auto"/>
        <w:ind w:left="360" w:right="0" w:hanging="360"/>
        <w:jc w:val="both"/>
        <w:rPr>
          <w:rFonts w:ascii="Times New Roman" w:cs="Times New Roman" w:eastAsia="Times New Roman" w:hAnsi="Times New Roman"/>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Assessment of Coordination between the Supervisory Board and the Board of Directors, Executive Board, and Other Management Personnel.</w:t>
      </w:r>
    </w:p>
    <w:p w:rsidR="00000000" w:rsidDel="00000000" w:rsidP="00000000" w:rsidRDefault="00000000" w:rsidRPr="00000000" w14:paraId="000000BD">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Supervisory Board received active cooperation and support from the Board of Directors, the Executive Board, and relevant departments and functional units to fulfill its supervisory and inspection duties in accordance with regulations. This included the timely provision of documents and information, the assignment of staff to coordinate with the Supervisory Board when requested, and facilitating the Board’s participation in meetings. Throughout the year, the Supervisory Board fully attended all meetings of the Board of Directors and participated in monthly briefings with the Executive Board, functional departments, and operational units of the Company.</w:t>
      </w:r>
    </w:p>
    <w:p w:rsidR="00000000" w:rsidDel="00000000" w:rsidP="00000000" w:rsidRDefault="00000000" w:rsidRPr="00000000" w14:paraId="000000BE">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Supervisory Board reviewed reports submitted by the Executive Board, including monthly and quarterly business performance reports, and analyzed the Company’s audited financial statements. The Board assessed the financial situation, operational efficiency, capital preservation and development, as well as significant risks.</w:t>
      </w:r>
    </w:p>
    <w:p w:rsidR="00000000" w:rsidDel="00000000" w:rsidP="00000000" w:rsidRDefault="00000000" w:rsidRPr="00000000" w14:paraId="000000BF">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Supervisory Board also coordinated with the Board of Directors and the Executive Board in organizing the Company’s Annual General Meeting of Shareholders (AGM), attending and participating in discussions during AGMs, Board meetings, and other sessions to provide supervision and contribute to strategic orientation for corporate activities.</w:t>
      </w:r>
    </w:p>
    <w:p w:rsidR="00000000" w:rsidDel="00000000" w:rsidP="00000000" w:rsidRDefault="00000000" w:rsidRPr="00000000" w14:paraId="000000C0">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2024, the Supervisory Board, the Board of Directors, and the Executive Board successfully coordinated to organize the Annual General Meeting of Shareholders in April 2024 in compliance with the proper procedures and current legal regulations.</w:t>
      </w:r>
    </w:p>
    <w:p w:rsidR="00000000" w:rsidDel="00000000" w:rsidP="00000000" w:rsidRDefault="00000000" w:rsidRPr="00000000" w14:paraId="000000C1">
      <w:pPr>
        <w:widowControl w:val="0"/>
        <w:spacing w:line="324" w:lineRule="auto"/>
        <w:ind w:firstLine="567"/>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Evaluation of 2024 Audited Financial Statements</w:t>
      </w:r>
    </w:p>
    <w:p w:rsidR="00000000" w:rsidDel="00000000" w:rsidP="00000000" w:rsidRDefault="00000000" w:rsidRPr="00000000" w14:paraId="000000C2">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2024 financial statements were audited by Nhan Tam Viet Auditing Co., Ltd., a firm approved by the State Securities Commission to audit public companies.</w:t>
      </w:r>
    </w:p>
    <w:p w:rsidR="00000000" w:rsidDel="00000000" w:rsidP="00000000" w:rsidRDefault="00000000" w:rsidRPr="00000000" w14:paraId="000000C3">
      <w:pPr>
        <w:widowControl w:val="0"/>
        <w:spacing w:line="324"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2024 audited financial statements fairly and reasonably reflect, in all material respects, the Company’s financial position as of December 31, 2024, as well as its business results and cash flows for the financial year then ended, in compliance with Vietnamese accounting standards and relevant legal regulations.</w:t>
      </w:r>
    </w:p>
    <w:p w:rsidR="00000000" w:rsidDel="00000000" w:rsidP="00000000" w:rsidRDefault="00000000" w:rsidRPr="00000000" w14:paraId="000000C4">
      <w:pPr>
        <w:widowControl w:val="0"/>
        <w:spacing w:line="324" w:lineRule="auto"/>
        <w:ind w:firstLine="567"/>
        <w:jc w:val="both"/>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sz w:val="26"/>
          <w:szCs w:val="26"/>
          <w:rtl w:val="0"/>
        </w:rPr>
        <w:tab/>
      </w:r>
      <w:r w:rsidDel="00000000" w:rsidR="00000000" w:rsidRPr="00000000">
        <w:rPr>
          <w:rFonts w:ascii="Times New Roman" w:cs="Times New Roman" w:eastAsia="Times New Roman" w:hAnsi="Times New Roman"/>
          <w:b w:val="1"/>
          <w:i w:val="1"/>
          <w:sz w:val="26"/>
          <w:szCs w:val="26"/>
          <w:rtl w:val="0"/>
        </w:rPr>
        <w:t xml:space="preserve">Key Financial Indicators as of December 31, 2024</w:t>
      </w:r>
    </w:p>
    <w:p w:rsidR="00000000" w:rsidDel="00000000" w:rsidP="00000000" w:rsidRDefault="00000000" w:rsidRPr="00000000" w14:paraId="000000C5">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567"/>
        </w:tabs>
        <w:spacing w:after="0" w:before="0" w:line="324" w:lineRule="auto"/>
        <w:ind w:left="567" w:right="0" w:firstLine="0"/>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Business Performance</w:t>
      </w:r>
    </w:p>
    <w:p w:rsidR="00000000" w:rsidDel="00000000" w:rsidP="00000000" w:rsidRDefault="00000000" w:rsidRPr="00000000" w14:paraId="000000C6">
      <w:pPr>
        <w:widowControl w:val="0"/>
        <w:spacing w:line="312" w:lineRule="auto"/>
        <w:ind w:left="567" w:firstLine="0"/>
        <w:jc w:val="right"/>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Unit: VND million</w:t>
      </w:r>
    </w:p>
    <w:tbl>
      <w:tblPr>
        <w:tblStyle w:val="Table8"/>
        <w:tblW w:w="895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1"/>
        <w:gridCol w:w="3469"/>
        <w:gridCol w:w="1701"/>
        <w:gridCol w:w="1559"/>
        <w:gridCol w:w="1559"/>
        <w:tblGridChange w:id="0">
          <w:tblGrid>
            <w:gridCol w:w="671"/>
            <w:gridCol w:w="3469"/>
            <w:gridCol w:w="1701"/>
            <w:gridCol w:w="1559"/>
            <w:gridCol w:w="1559"/>
          </w:tblGrid>
        </w:tblGridChange>
      </w:tblGrid>
      <w:tr>
        <w:trPr>
          <w:cantSplit w:val="0"/>
          <w:tblHeader w:val="1"/>
        </w:trPr>
        <w:tc>
          <w:tcPr/>
          <w:p w:rsidR="00000000" w:rsidDel="00000000" w:rsidP="00000000" w:rsidRDefault="00000000" w:rsidRPr="00000000" w14:paraId="000000C7">
            <w:pPr>
              <w:widowControl w:val="0"/>
              <w:spacing w:before="1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w:t>
            </w:r>
          </w:p>
        </w:tc>
        <w:tc>
          <w:tcPr/>
          <w:p w:rsidR="00000000" w:rsidDel="00000000" w:rsidP="00000000" w:rsidRDefault="00000000" w:rsidRPr="00000000" w14:paraId="000000C8">
            <w:pPr>
              <w:widowControl w:val="0"/>
              <w:spacing w:before="16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Indicator</w:t>
            </w:r>
          </w:p>
        </w:tc>
        <w:tc>
          <w:tcPr/>
          <w:p w:rsidR="00000000" w:rsidDel="00000000" w:rsidP="00000000" w:rsidRDefault="00000000" w:rsidRPr="00000000" w14:paraId="000000C9">
            <w:pPr>
              <w:widowControl w:val="0"/>
              <w:spacing w:before="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2024 Plan</w:t>
            </w:r>
          </w:p>
        </w:tc>
        <w:tc>
          <w:tcPr/>
          <w:p w:rsidR="00000000" w:rsidDel="00000000" w:rsidP="00000000" w:rsidRDefault="00000000" w:rsidRPr="00000000" w14:paraId="000000CA">
            <w:pPr>
              <w:widowControl w:val="0"/>
              <w:spacing w:before="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2024 Actual</w:t>
            </w:r>
          </w:p>
        </w:tc>
        <w:tc>
          <w:tcPr/>
          <w:p w:rsidR="00000000" w:rsidDel="00000000" w:rsidP="00000000" w:rsidRDefault="00000000" w:rsidRPr="00000000" w14:paraId="000000CB">
            <w:pPr>
              <w:widowControl w:val="0"/>
              <w:spacing w:before="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of Completion</w:t>
            </w:r>
          </w:p>
        </w:tc>
      </w:tr>
      <w:tr>
        <w:trPr>
          <w:cantSplit w:val="0"/>
          <w:tblHeader w:val="0"/>
        </w:trPr>
        <w:tc>
          <w:tcPr/>
          <w:p w:rsidR="00000000" w:rsidDel="00000000" w:rsidP="00000000" w:rsidRDefault="00000000" w:rsidRPr="00000000" w14:paraId="000000CC">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p w:rsidR="00000000" w:rsidDel="00000000" w:rsidP="00000000" w:rsidRDefault="00000000" w:rsidRPr="00000000" w14:paraId="000000CD">
            <w:pPr>
              <w:widowControl w:val="0"/>
              <w:spacing w:after="60" w:before="6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Net Revenue</w:t>
            </w:r>
          </w:p>
        </w:tc>
        <w:tc>
          <w:tcPr/>
          <w:p w:rsidR="00000000" w:rsidDel="00000000" w:rsidP="00000000" w:rsidRDefault="00000000" w:rsidRPr="00000000" w14:paraId="000000CE">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35.000</w:t>
            </w:r>
          </w:p>
        </w:tc>
        <w:tc>
          <w:tcPr/>
          <w:p w:rsidR="00000000" w:rsidDel="00000000" w:rsidP="00000000" w:rsidRDefault="00000000" w:rsidRPr="00000000" w14:paraId="000000CF">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27.334</w:t>
            </w:r>
          </w:p>
        </w:tc>
        <w:tc>
          <w:tcPr/>
          <w:p w:rsidR="00000000" w:rsidDel="00000000" w:rsidP="00000000" w:rsidRDefault="00000000" w:rsidRPr="00000000" w14:paraId="000000D0">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78%</w:t>
            </w:r>
          </w:p>
        </w:tc>
      </w:tr>
      <w:tr>
        <w:trPr>
          <w:cantSplit w:val="0"/>
          <w:trHeight w:val="574" w:hRule="atLeast"/>
          <w:tblHeader w:val="0"/>
        </w:trPr>
        <w:tc>
          <w:tcPr/>
          <w:p w:rsidR="00000000" w:rsidDel="00000000" w:rsidP="00000000" w:rsidRDefault="00000000" w:rsidRPr="00000000" w14:paraId="000000D1">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bl>
            <w:tblPr>
              <w:tblStyle w:val="Table9"/>
              <w:tblW w:w="96.0" w:type="dxa"/>
              <w:jc w:val="left"/>
              <w:tblLayout w:type="fixed"/>
              <w:tblLook w:val="0400"/>
            </w:tblPr>
            <w:tblGrid>
              <w:gridCol w:w="96"/>
              <w:tblGridChange w:id="0">
                <w:tblGrid>
                  <w:gridCol w:w="96"/>
                </w:tblGrid>
              </w:tblGridChange>
            </w:tblGrid>
            <w:tr>
              <w:trPr>
                <w:cantSplit w:val="0"/>
                <w:tblHeader w:val="0"/>
              </w:trPr>
              <w:tc>
                <w:tcPr>
                  <w:vAlign w:val="center"/>
                </w:tcPr>
                <w:p w:rsidR="00000000" w:rsidDel="00000000" w:rsidP="00000000" w:rsidRDefault="00000000" w:rsidRPr="00000000" w14:paraId="000000D3">
                  <w:pPr>
                    <w:widowControl w:val="0"/>
                    <w:spacing w:after="60" w:before="60" w:lineRule="auto"/>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bl>
            <w:tblPr>
              <w:tblStyle w:val="Table10"/>
              <w:tblW w:w="1924.0" w:type="dxa"/>
              <w:jc w:val="left"/>
              <w:tblLayout w:type="fixed"/>
              <w:tblLook w:val="0400"/>
            </w:tblPr>
            <w:tblGrid>
              <w:gridCol w:w="1924"/>
              <w:tblGridChange w:id="0">
                <w:tblGrid>
                  <w:gridCol w:w="1924"/>
                </w:tblGrid>
              </w:tblGridChange>
            </w:tblGrid>
            <w:tr>
              <w:trPr>
                <w:cantSplit w:val="0"/>
                <w:tblHeader w:val="0"/>
              </w:trPr>
              <w:tc>
                <w:tcPr>
                  <w:vAlign w:val="center"/>
                </w:tcPr>
                <w:p w:rsidR="00000000" w:rsidDel="00000000" w:rsidP="00000000" w:rsidRDefault="00000000" w:rsidRPr="00000000" w14:paraId="000000D5">
                  <w:pPr>
                    <w:widowControl w:val="0"/>
                    <w:spacing w:after="60" w:before="6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Profit Before Tax</w:t>
                  </w:r>
                </w:p>
              </w:tc>
            </w:tr>
          </w:tbl>
          <w:p w:rsidR="00000000" w:rsidDel="00000000" w:rsidP="00000000" w:rsidRDefault="00000000" w:rsidRPr="00000000" w14:paraId="000000D6">
            <w:pPr>
              <w:widowControl w:val="0"/>
              <w:spacing w:after="60" w:before="60" w:lineRule="auto"/>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D7">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2.800</w:t>
            </w:r>
          </w:p>
        </w:tc>
        <w:tc>
          <w:tcPr/>
          <w:p w:rsidR="00000000" w:rsidDel="00000000" w:rsidP="00000000" w:rsidRDefault="00000000" w:rsidRPr="00000000" w14:paraId="000000D8">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w:t>
            </w:r>
          </w:p>
        </w:tc>
        <w:tc>
          <w:tcPr/>
          <w:p w:rsidR="00000000" w:rsidDel="00000000" w:rsidP="00000000" w:rsidRDefault="00000000" w:rsidRPr="00000000" w14:paraId="000000D9">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46%</w:t>
            </w:r>
          </w:p>
        </w:tc>
      </w:tr>
      <w:tr>
        <w:trPr>
          <w:cantSplit w:val="0"/>
          <w:tblHeader w:val="0"/>
        </w:trPr>
        <w:tc>
          <w:tcPr/>
          <w:p w:rsidR="00000000" w:rsidDel="00000000" w:rsidP="00000000" w:rsidRDefault="00000000" w:rsidRPr="00000000" w14:paraId="000000DA">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p w:rsidR="00000000" w:rsidDel="00000000" w:rsidP="00000000" w:rsidRDefault="00000000" w:rsidRPr="00000000" w14:paraId="000000DB">
            <w:pPr>
              <w:widowControl w:val="0"/>
              <w:spacing w:after="60" w:before="6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Profit After Tax</w:t>
            </w:r>
          </w:p>
        </w:tc>
        <w:tc>
          <w:tcPr/>
          <w:p w:rsidR="00000000" w:rsidDel="00000000" w:rsidP="00000000" w:rsidRDefault="00000000" w:rsidRPr="00000000" w14:paraId="000000DC">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2.240</w:t>
            </w:r>
          </w:p>
        </w:tc>
        <w:tc>
          <w:tcPr/>
          <w:p w:rsidR="00000000" w:rsidDel="00000000" w:rsidP="00000000" w:rsidRDefault="00000000" w:rsidRPr="00000000" w14:paraId="000000DD">
            <w:pPr>
              <w:widowControl w:val="0"/>
              <w:spacing w:after="60" w:before="60"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w:t>
            </w:r>
          </w:p>
        </w:tc>
        <w:tc>
          <w:tcPr/>
          <w:p w:rsidR="00000000" w:rsidDel="00000000" w:rsidP="00000000" w:rsidRDefault="00000000" w:rsidRPr="00000000" w14:paraId="000000DE">
            <w:pPr>
              <w:widowControl w:val="0"/>
              <w:spacing w:after="60" w:before="60"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57%</w:t>
            </w:r>
          </w:p>
        </w:tc>
      </w:tr>
    </w:tbl>
    <w:p w:rsidR="00000000" w:rsidDel="00000000" w:rsidP="00000000" w:rsidRDefault="00000000" w:rsidRPr="00000000" w14:paraId="000000DF">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709"/>
        </w:tabs>
        <w:spacing w:after="0" w:before="160" w:line="312" w:lineRule="auto"/>
        <w:ind w:left="851" w:right="0" w:hanging="284"/>
        <w:jc w:val="both"/>
        <w:rPr>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Asset and Capital Structure:</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0" w:line="259" w:lineRule="auto"/>
        <w:ind w:left="0" w:right="0" w:firstLine="567"/>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The Company’s capital structure remains reasonable, reflecting its financial independence and autonomy. Key ratios are as follows:</w:t>
      </w:r>
    </w:p>
    <w:tbl>
      <w:tblPr>
        <w:tblStyle w:val="Table11"/>
        <w:tblW w:w="9144.0" w:type="dxa"/>
        <w:jc w:val="center"/>
        <w:tblLayout w:type="fixed"/>
        <w:tblLook w:val="0400"/>
      </w:tblPr>
      <w:tblGrid>
        <w:gridCol w:w="634"/>
        <w:gridCol w:w="4272"/>
        <w:gridCol w:w="1406"/>
        <w:gridCol w:w="1406"/>
        <w:gridCol w:w="1426"/>
        <w:tblGridChange w:id="0">
          <w:tblGrid>
            <w:gridCol w:w="634"/>
            <w:gridCol w:w="4272"/>
            <w:gridCol w:w="1406"/>
            <w:gridCol w:w="1406"/>
            <w:gridCol w:w="1426"/>
          </w:tblGrid>
        </w:tblGridChange>
      </w:tblGrid>
      <w:tr>
        <w:trPr>
          <w:cantSplit w:val="0"/>
          <w:trHeight w:val="643" w:hRule="atLeast"/>
          <w:tblHeader w:val="0"/>
        </w:trPr>
        <w:tc>
          <w:tcPr>
            <w:tcBorders>
              <w:top w:color="000000" w:space="0" w:sz="4" w:val="single"/>
              <w:left w:color="000000" w:space="0" w:sz="4" w:val="single"/>
            </w:tcBorders>
            <w:shd w:fill="ffffff" w:val="cle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4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No</w:t>
            </w:r>
            <w:r w:rsidDel="00000000" w:rsidR="00000000" w:rsidRPr="00000000">
              <w:rPr>
                <w:rtl w:val="0"/>
              </w:rPr>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Indicator</w:t>
            </w:r>
          </w:p>
        </w:tc>
        <w:tc>
          <w:tcPr>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2023</w:t>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2024</w:t>
            </w:r>
            <w:r w:rsidDel="00000000" w:rsidR="00000000" w:rsidRPr="00000000">
              <w:rPr>
                <w:rtl w:val="0"/>
              </w:rPr>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Change (%)</w:t>
            </w:r>
            <w:r w:rsidDel="00000000" w:rsidR="00000000" w:rsidRPr="00000000">
              <w:rPr>
                <w:rtl w:val="0"/>
              </w:rPr>
            </w:r>
          </w:p>
        </w:tc>
      </w:tr>
      <w:tr>
        <w:trPr>
          <w:cantSplit w:val="0"/>
          <w:trHeight w:val="558" w:hRule="atLeast"/>
          <w:tblHeader w:val="0"/>
        </w:trPr>
        <w:tc>
          <w:tcPr>
            <w:tcBorders>
              <w:top w:color="000000" w:space="0" w:sz="4" w:val="single"/>
              <w:left w:color="000000" w:space="0" w:sz="4" w:val="single"/>
            </w:tcBorders>
            <w:shd w:fill="ffffff" w:val="clear"/>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w:t>
            </w:r>
            <w:r w:rsidDel="00000000" w:rsidR="00000000" w:rsidRPr="00000000">
              <w:rPr>
                <w:rtl w:val="0"/>
              </w:rPr>
            </w:r>
          </w:p>
        </w:tc>
        <w:tc>
          <w:tcPr>
            <w:tcBorders>
              <w:top w:color="000000" w:space="0" w:sz="4" w:val="single"/>
              <w:left w:color="000000" w:space="0" w:sz="4" w:val="single"/>
            </w:tcBorders>
            <w:shd w:fill="ffffff" w:val="clear"/>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Asset Structure</w:t>
            </w: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E8">
            <w:pPr>
              <w:spacing w:after="120" w:before="120" w:line="288" w:lineRule="auto"/>
              <w:rPr>
                <w:sz w:val="10"/>
                <w:szCs w:val="10"/>
              </w:rPr>
            </w:pPr>
            <w:r w:rsidDel="00000000" w:rsidR="00000000" w:rsidRPr="00000000">
              <w:rPr>
                <w:rtl w:val="0"/>
              </w:rPr>
            </w:r>
          </w:p>
        </w:tc>
        <w:tc>
          <w:tcPr>
            <w:tcBorders>
              <w:top w:color="000000" w:space="0" w:sz="4" w:val="single"/>
              <w:left w:color="000000" w:space="0" w:sz="4" w:val="single"/>
            </w:tcBorders>
            <w:shd w:fill="ffffff" w:val="clear"/>
          </w:tcPr>
          <w:p w:rsidR="00000000" w:rsidDel="00000000" w:rsidP="00000000" w:rsidRDefault="00000000" w:rsidRPr="00000000" w14:paraId="000000E9">
            <w:pPr>
              <w:spacing w:after="120" w:before="120" w:line="288" w:lineRule="auto"/>
              <w:rPr>
                <w:sz w:val="10"/>
                <w:szCs w:val="10"/>
              </w:rPr>
            </w:pP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EA">
            <w:pPr>
              <w:spacing w:after="120" w:before="120" w:line="288" w:lineRule="auto"/>
              <w:rPr>
                <w:sz w:val="10"/>
                <w:szCs w:val="10"/>
              </w:rPr>
            </w:pPr>
            <w:r w:rsidDel="00000000" w:rsidR="00000000" w:rsidRPr="00000000">
              <w:rPr>
                <w:rtl w:val="0"/>
              </w:rPr>
            </w:r>
          </w:p>
        </w:tc>
      </w:tr>
      <w:tr>
        <w:trPr>
          <w:cantSplit w:val="0"/>
          <w:trHeight w:val="450" w:hRule="atLeast"/>
          <w:tblHeader w:val="0"/>
        </w:trPr>
        <w:tc>
          <w:tcPr>
            <w:tcBorders>
              <w:top w:color="000000" w:space="0" w:sz="4" w:val="single"/>
              <w:left w:color="000000" w:space="0" w:sz="4" w:val="single"/>
            </w:tcBorders>
            <w:shd w:fill="ffffff" w:val="clear"/>
            <w:vAlign w:val="bottom"/>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Short-term assets / Total assets (%)</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81,90%</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81,5%</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6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-0,49%</w:t>
            </w:r>
          </w:p>
        </w:tc>
      </w:tr>
      <w:tr>
        <w:trPr>
          <w:cantSplit w:val="0"/>
          <w:trHeight w:val="429" w:hRule="atLeast"/>
          <w:tblHeader w:val="0"/>
        </w:trPr>
        <w:tc>
          <w:tcPr>
            <w:tcBorders>
              <w:top w:color="000000" w:space="0" w:sz="4" w:val="single"/>
              <w:left w:color="000000" w:space="0" w:sz="4" w:val="single"/>
            </w:tcBorders>
            <w:shd w:fill="ffffff" w:val="clear"/>
            <w:vAlign w:val="bottom"/>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Long-term assets / Total assets (%)</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18,10%</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18,5%</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2,21%</w:t>
            </w:r>
          </w:p>
        </w:tc>
      </w:tr>
      <w:tr>
        <w:trPr>
          <w:cantSplit w:val="0"/>
          <w:trHeight w:val="536" w:hRule="atLeast"/>
          <w:tblHeader w:val="0"/>
        </w:trPr>
        <w:tc>
          <w:tcPr>
            <w:tcBorders>
              <w:top w:color="000000" w:space="0" w:sz="4" w:val="single"/>
              <w:left w:color="000000" w:space="0" w:sz="4" w:val="single"/>
            </w:tcBorders>
            <w:shd w:fill="ffffff" w:val="clear"/>
            <w:vAlign w:val="bottom"/>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II</w:t>
            </w:r>
            <w:r w:rsidDel="00000000" w:rsidR="00000000" w:rsidRPr="00000000">
              <w:rPr>
                <w:rtl w:val="0"/>
              </w:rPr>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Capital Structure</w:t>
            </w: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F7">
            <w:pPr>
              <w:spacing w:after="120" w:before="120" w:line="288" w:lineRule="auto"/>
              <w:jc w:val="center"/>
              <w:rPr>
                <w:sz w:val="10"/>
                <w:szCs w:val="10"/>
              </w:rPr>
            </w:pPr>
            <w:r w:rsidDel="00000000" w:rsidR="00000000" w:rsidRPr="00000000">
              <w:rPr>
                <w:rtl w:val="0"/>
              </w:rPr>
            </w:r>
          </w:p>
        </w:tc>
        <w:tc>
          <w:tcPr>
            <w:tcBorders>
              <w:top w:color="000000" w:space="0" w:sz="4" w:val="single"/>
              <w:left w:color="000000" w:space="0" w:sz="4" w:val="single"/>
            </w:tcBorders>
            <w:shd w:fill="ffffff" w:val="clear"/>
          </w:tcPr>
          <w:p w:rsidR="00000000" w:rsidDel="00000000" w:rsidP="00000000" w:rsidRDefault="00000000" w:rsidRPr="00000000" w14:paraId="000000F8">
            <w:pPr>
              <w:spacing w:after="120" w:before="120" w:line="288" w:lineRule="auto"/>
              <w:jc w:val="center"/>
              <w:rPr>
                <w:sz w:val="10"/>
                <w:szCs w:val="10"/>
              </w:rPr>
            </w:pP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F9">
            <w:pPr>
              <w:spacing w:after="120" w:before="120" w:line="288" w:lineRule="auto"/>
              <w:jc w:val="center"/>
              <w:rPr>
                <w:sz w:val="10"/>
                <w:szCs w:val="10"/>
              </w:rPr>
            </w:pPr>
            <w:r w:rsidDel="00000000" w:rsidR="00000000" w:rsidRPr="00000000">
              <w:rPr>
                <w:rtl w:val="0"/>
              </w:rPr>
            </w:r>
          </w:p>
        </w:tc>
      </w:tr>
      <w:tr>
        <w:trPr>
          <w:cantSplit w:val="0"/>
          <w:trHeight w:val="426" w:hRule="atLeast"/>
          <w:tblHeader w:val="0"/>
        </w:trPr>
        <w:tc>
          <w:tcPr>
            <w:tcBorders>
              <w:top w:color="000000" w:space="0" w:sz="4" w:val="single"/>
              <w:left w:color="000000" w:space="0" w:sz="4" w:val="single"/>
            </w:tcBorders>
            <w:shd w:fill="ffffff" w:val="clear"/>
            <w:vAlign w:val="bottom"/>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Liabilities / Total capital (%)</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6,52%</w:t>
            </w:r>
          </w:p>
        </w:tc>
        <w:tc>
          <w:tcPr>
            <w:tcBorders>
              <w:top w:color="000000" w:space="0" w:sz="4" w:val="single"/>
              <w:left w:color="000000" w:space="0" w:sz="4" w:val="single"/>
            </w:tcBorders>
            <w:shd w:fill="ffffff" w:val="clear"/>
            <w:vAlign w:val="bottom"/>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6,86%</w:t>
            </w:r>
          </w:p>
        </w:tc>
        <w:tc>
          <w:tcPr>
            <w:tcBorders>
              <w:top w:color="000000" w:space="0" w:sz="4" w:val="single"/>
              <w:left w:color="000000" w:space="0" w:sz="4" w:val="single"/>
              <w:right w:color="000000" w:space="0" w:sz="4" w:val="single"/>
            </w:tcBorders>
            <w:shd w:fill="ffffff" w:val="clear"/>
            <w:vAlign w:val="bottom"/>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6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5,21%</w:t>
            </w:r>
          </w:p>
        </w:tc>
      </w:tr>
      <w:tr>
        <w:trPr>
          <w:cantSplit w:val="0"/>
          <w:trHeight w:val="418" w:hRule="atLeast"/>
          <w:tblHeader w:val="0"/>
        </w:trPr>
        <w:tc>
          <w:tcPr>
            <w:tcBorders>
              <w:top w:color="000000" w:space="0" w:sz="4" w:val="single"/>
              <w:left w:color="000000" w:space="0" w:sz="4" w:val="single"/>
              <w:bottom w:color="000000" w:space="0" w:sz="4" w:val="single"/>
            </w:tcBorders>
            <w:shd w:fill="ffffff" w:val="clear"/>
            <w:vAlign w:val="bottom"/>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2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tcBorders>
              <w:top w:color="000000" w:space="0" w:sz="4" w:val="single"/>
              <w:left w:color="000000" w:space="0" w:sz="4" w:val="single"/>
              <w:bottom w:color="000000" w:space="0" w:sz="4" w:val="single"/>
            </w:tcBorders>
            <w:shd w:fill="ffffff" w:val="clear"/>
            <w:vAlign w:val="bottom"/>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Liabilities / Total capital (%)</w:t>
            </w:r>
          </w:p>
        </w:tc>
        <w:tc>
          <w:tcPr>
            <w:tcBorders>
              <w:top w:color="000000" w:space="0" w:sz="4" w:val="single"/>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93,48%</w:t>
            </w:r>
          </w:p>
        </w:tc>
        <w:tc>
          <w:tcPr>
            <w:tcBorders>
              <w:top w:color="000000" w:space="0" w:sz="4" w:val="single"/>
              <w:left w:color="000000" w:space="0" w:sz="4" w:val="single"/>
              <w:bottom w:color="000000" w:space="0" w:sz="4" w:val="single"/>
            </w:tcBorders>
            <w:shd w:fill="ffffff" w:val="clear"/>
            <w:vAlign w:val="bottom"/>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30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93,14%</w:t>
            </w:r>
          </w:p>
        </w:tc>
        <w:tc>
          <w:tcPr>
            <w:tcBorders>
              <w:top w:color="000000" w:space="0" w:sz="4" w:val="single"/>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88" w:lineRule="auto"/>
              <w:ind w:left="0" w:right="0" w:firstLine="26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-0,36%</w:t>
            </w:r>
          </w:p>
        </w:tc>
      </w:tr>
    </w:tbl>
    <w:p w:rsidR="00000000" w:rsidDel="00000000" w:rsidP="00000000" w:rsidRDefault="00000000" w:rsidRPr="00000000" w14:paraId="00000104">
      <w:pPr>
        <w:widowControl w:val="0"/>
        <w:spacing w:before="200" w:line="288"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III. OPERATION PLAN OF THE SUPERVISORY BOARD IN 2025</w:t>
      </w:r>
    </w:p>
    <w:p w:rsidR="00000000" w:rsidDel="00000000" w:rsidP="00000000" w:rsidRDefault="00000000" w:rsidRPr="00000000" w14:paraId="0000010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Develop the 2025 work plan for the Supervisory Board. Assign tasks to members and organize the supervision of the Company’s business operations according to its authority and responsibilities;</w:t>
      </w:r>
    </w:p>
    <w:p w:rsidR="00000000" w:rsidDel="00000000" w:rsidP="00000000" w:rsidRDefault="00000000" w:rsidRPr="00000000" w14:paraId="0000010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Monitor compliance with laws, organizational charters, internal regulations, resolutions of the General Meeting of Shareholders, and directives from the BOD and Executive Board;</w:t>
      </w:r>
    </w:p>
    <w:p w:rsidR="00000000" w:rsidDel="00000000" w:rsidP="00000000" w:rsidRDefault="00000000" w:rsidRPr="00000000" w14:paraId="0000010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Hold regular quarterly Supervisory Board meetings; actively participate in meetings of the BOD and Executive Board, and provide feedback and risk-prevention recommendations;</w:t>
      </w:r>
    </w:p>
    <w:p w:rsidR="00000000" w:rsidDel="00000000" w:rsidP="00000000" w:rsidRDefault="00000000" w:rsidRPr="00000000" w14:paraId="0000010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Focus on identifying and reviewing risks related to management and business activities to enhance capital efficiency and safety;</w:t>
      </w:r>
    </w:p>
    <w:p w:rsidR="00000000" w:rsidDel="00000000" w:rsidP="00000000" w:rsidRDefault="00000000" w:rsidRPr="00000000" w14:paraId="0000010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Review quarterly, semi-annual, and annual financial statements for 2025;</w:t>
      </w:r>
    </w:p>
    <w:p w:rsidR="00000000" w:rsidDel="00000000" w:rsidP="00000000" w:rsidRDefault="00000000" w:rsidRPr="00000000" w14:paraId="0000010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Perform other tasks in accordance with the functions stipulated by the Law on Enterprises and the Company Charter.</w:t>
      </w:r>
    </w:p>
    <w:p w:rsidR="00000000" w:rsidDel="00000000" w:rsidP="00000000" w:rsidRDefault="00000000" w:rsidRPr="00000000" w14:paraId="0000010B">
      <w:pPr>
        <w:widowControl w:val="0"/>
        <w:spacing w:after="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above is the Supervisory Board's report on 2024 operations and the 2025 operational plan.</w:t>
      </w:r>
    </w:p>
    <w:p w:rsidR="00000000" w:rsidDel="00000000" w:rsidP="00000000" w:rsidRDefault="00000000" w:rsidRPr="00000000" w14:paraId="0000010C">
      <w:pPr>
        <w:widowControl w:val="0"/>
        <w:spacing w:after="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We respectfully submit it to the General Meeting of Shareholders for consideration and approval.</w:t>
      </w:r>
    </w:p>
    <w:tbl>
      <w:tblPr>
        <w:tblStyle w:val="Table12"/>
        <w:tblW w:w="9072.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72"/>
        <w:gridCol w:w="4600"/>
        <w:tblGridChange w:id="0">
          <w:tblGrid>
            <w:gridCol w:w="4472"/>
            <w:gridCol w:w="4600"/>
          </w:tblGrid>
        </w:tblGridChange>
      </w:tblGrid>
      <w:tr>
        <w:trPr>
          <w:cantSplit w:val="0"/>
          <w:trHeight w:val="2684" w:hRule="atLeast"/>
          <w:tblHeader w:val="0"/>
        </w:trPr>
        <w:tc>
          <w:tcPr/>
          <w:p w:rsidR="00000000" w:rsidDel="00000000" w:rsidP="00000000" w:rsidRDefault="00000000" w:rsidRPr="00000000" w14:paraId="0000010D">
            <w:pPr>
              <w:widowControl w:val="0"/>
              <w:spacing w:line="312" w:lineRule="auto"/>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10E">
            <w:pPr>
              <w:widowControl w:val="0"/>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ON BEHALF OF THE SUPERVISORY BOARD</w:t>
            </w:r>
          </w:p>
          <w:p w:rsidR="00000000" w:rsidDel="00000000" w:rsidP="00000000" w:rsidRDefault="00000000" w:rsidRPr="00000000" w14:paraId="0000010F">
            <w:pPr>
              <w:widowControl w:val="0"/>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HEAD OF THE BOARD</w:t>
            </w:r>
          </w:p>
          <w:p w:rsidR="00000000" w:rsidDel="00000000" w:rsidP="00000000" w:rsidRDefault="00000000" w:rsidRPr="00000000" w14:paraId="00000110">
            <w:pPr>
              <w:widowControl w:val="0"/>
              <w:spacing w:line="312" w:lineRule="auto"/>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11">
            <w:pPr>
              <w:widowControl w:val="0"/>
              <w:spacing w:line="312"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12">
            <w:pPr>
              <w:widowControl w:val="0"/>
              <w:spacing w:line="312" w:lineRule="auto"/>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13">
            <w:pPr>
              <w:widowControl w:val="0"/>
              <w:spacing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Nguyễn Thị Minh</w:t>
            </w:r>
          </w:p>
        </w:tc>
      </w:tr>
    </w:tbl>
    <w:p w:rsidR="00000000" w:rsidDel="00000000" w:rsidP="00000000" w:rsidRDefault="00000000" w:rsidRPr="00000000" w14:paraId="00000114">
      <w:pPr>
        <w:widowControl w:val="0"/>
        <w:spacing w:after="80" w:before="80" w:line="312" w:lineRule="auto"/>
        <w:rPr>
          <w:sz w:val="28"/>
          <w:szCs w:val="28"/>
        </w:rPr>
      </w:pPr>
      <w:r w:rsidDel="00000000" w:rsidR="00000000" w:rsidRPr="00000000">
        <w:rPr>
          <w:rtl w:val="0"/>
        </w:rPr>
      </w:r>
    </w:p>
    <w:p w:rsidR="00000000" w:rsidDel="00000000" w:rsidP="00000000" w:rsidRDefault="00000000" w:rsidRPr="00000000" w14:paraId="00000115">
      <w:pPr>
        <w:widowControl w:val="0"/>
        <w:spacing w:after="80" w:before="80" w:line="312" w:lineRule="auto"/>
        <w:rPr>
          <w:sz w:val="28"/>
          <w:szCs w:val="28"/>
        </w:rPr>
      </w:pPr>
      <w:r w:rsidDel="00000000" w:rsidR="00000000" w:rsidRPr="00000000">
        <w:rPr>
          <w:rtl w:val="0"/>
        </w:rPr>
      </w:r>
    </w:p>
    <w:sectPr>
      <w:footerReference r:id="rId7" w:type="default"/>
      <w:pgSz w:h="16840" w:w="11907" w:orient="portrait"/>
      <w:pgMar w:bottom="1134" w:top="1135" w:left="1701" w:right="1134" w:header="720" w:footer="26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bl>
    <w:tblPr>
      <w:tblStyle w:val="Table13"/>
      <w:tblW w:w="9072.0" w:type="dxa"/>
      <w:jc w:val="center"/>
      <w:tblLayout w:type="fixed"/>
      <w:tblLook w:val="0400"/>
    </w:tblPr>
    <w:tblGrid>
      <w:gridCol w:w="6521"/>
      <w:gridCol w:w="2551"/>
      <w:tblGridChange w:id="0">
        <w:tblGrid>
          <w:gridCol w:w="6521"/>
          <w:gridCol w:w="2551"/>
        </w:tblGrid>
      </w:tblGridChange>
    </w:tblGrid>
    <w:tr>
      <w:trPr>
        <w:cantSplit w:val="0"/>
        <w:trHeight w:val="115" w:hRule="atLeast"/>
        <w:tblHeader w:val="0"/>
      </w:trPr>
      <w:tc>
        <w:tcPr>
          <w:shd w:fill="4f81bd" w:val="clear"/>
          <w:tcMar>
            <w:top w:w="0.0" w:type="dxa"/>
            <w:bottom w:w="0.0" w:type="dxa"/>
          </w:tcMa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1"/>
              <w:strike w:val="0"/>
              <w:color w:val="000000"/>
              <w:sz w:val="18"/>
              <w:szCs w:val="18"/>
              <w:u w:val="none"/>
              <w:shd w:fill="auto" w:val="clear"/>
              <w:vertAlign w:val="baseline"/>
            </w:rPr>
          </w:pPr>
          <w:r w:rsidDel="00000000" w:rsidR="00000000" w:rsidRPr="00000000">
            <w:rPr>
              <w:rtl w:val="0"/>
            </w:rPr>
          </w:r>
        </w:p>
      </w:tc>
      <w:tc>
        <w:tcPr>
          <w:shd w:fill="4f81bd" w:val="clear"/>
          <w:tcMar>
            <w:top w:w="0.0" w:type="dxa"/>
            <w:bottom w:w="0.0" w:type="dxa"/>
          </w:tcMa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1"/>
              <w:strike w:val="0"/>
              <w:color w:val="000000"/>
              <w:sz w:val="18"/>
              <w:szCs w:val="18"/>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1"/>
              <w:strike w:val="0"/>
              <w:color w:val="808080"/>
              <w:sz w:val="18"/>
              <w:szCs w:val="18"/>
              <w:u w:val="none"/>
              <w:shd w:fill="auto" w:val="clear"/>
              <w:vertAlign w:val="baseline"/>
            </w:rPr>
          </w:pPr>
          <w:r w:rsidDel="00000000" w:rsidR="00000000" w:rsidRPr="00000000">
            <w:rPr>
              <w:rFonts w:ascii="Calibri" w:cs="Calibri" w:eastAsia="Calibri" w:hAnsi="Calibri"/>
              <w:b w:val="0"/>
              <w:i w:val="0"/>
              <w:smallCaps w:val="1"/>
              <w:strike w:val="0"/>
              <w:color w:val="808080"/>
              <w:sz w:val="18"/>
              <w:szCs w:val="18"/>
              <w:u w:val="none"/>
              <w:shd w:fill="auto" w:val="clear"/>
              <w:vertAlign w:val="baseline"/>
              <w:rtl w:val="0"/>
            </w:rPr>
            <w:t xml:space="preserve">BÁO CÁO CỦA BAN KIỂM SOÁT TẠI ĐẠI HỘI ĐỒNG THƯỜNG NIÊN NĂM 2025</w:t>
          </w:r>
        </w:p>
      </w:tc>
      <w:tc>
        <w:tcPr>
          <w:shd w:fill="auto" w:val="clear"/>
          <w:vAlign w:val="center"/>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1"/>
              <w:strike w:val="0"/>
              <w:color w:val="808080"/>
              <w:sz w:val="18"/>
              <w:szCs w:val="18"/>
              <w:u w:val="none"/>
              <w:shd w:fill="auto" w:val="clear"/>
              <w:vertAlign w:val="baseline"/>
            </w:rPr>
          </w:pPr>
          <w:r w:rsidDel="00000000" w:rsidR="00000000" w:rsidRPr="00000000">
            <w:rPr>
              <w:rFonts w:ascii="Calibri" w:cs="Calibri" w:eastAsia="Calibri" w:hAnsi="Calibri"/>
              <w:b w:val="0"/>
              <w:i w:val="0"/>
              <w:smallCaps w:val="1"/>
              <w:strike w:val="0"/>
              <w:color w:val="80808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606"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b w:val="1"/>
      </w:rPr>
    </w:lvl>
    <w:lvl w:ilvl="1">
      <w:start w:val="1"/>
      <w:numFmt w:val="decimal"/>
      <w:lvlText w:val="%1.%2."/>
      <w:lvlJc w:val="left"/>
      <w:pPr>
        <w:ind w:left="1080" w:hanging="72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1800" w:hanging="1440"/>
      </w:pPr>
      <w:rPr/>
    </w:lvl>
    <w:lvl w:ilvl="7">
      <w:start w:val="1"/>
      <w:numFmt w:val="decimal"/>
      <w:lvlText w:val="%1.%2.%3.%4.%5.%6.%7.%8."/>
      <w:lvlJc w:val="left"/>
      <w:pPr>
        <w:ind w:left="2160" w:hanging="180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0"/>
      <w:numFmt w:val="bullet"/>
      <w:lvlText w:val="-"/>
      <w:lvlJc w:val="left"/>
      <w:pPr>
        <w:ind w:left="720" w:hanging="360"/>
      </w:pPr>
      <w:rPr>
        <w:rFonts w:ascii="Times New Roman" w:cs="Times New Roman" w:eastAsia="Times New Roman" w:hAnsi="Times New Roman"/>
        <w:b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0"/>
      <w:numFmt w:val="bullet"/>
      <w:lvlText w:val="-"/>
      <w:lvlJc w:val="left"/>
      <w:pPr>
        <w:ind w:left="720" w:hanging="360"/>
      </w:pPr>
      <w:rPr>
        <w:rFonts w:ascii="Times New Roman" w:cs="Times New Roman" w:eastAsia="Times New Roman" w:hAnsi="Times New Roman"/>
        <w:b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0"/>
      <w:numFmt w:val="bullet"/>
      <w:lvlText w:val="-"/>
      <w:lvlJc w:val="left"/>
      <w:pPr>
        <w:ind w:left="928" w:hanging="360"/>
      </w:pPr>
      <w:rPr>
        <w:rFonts w:ascii="Times New Roman" w:cs="Times New Roman" w:eastAsia="Times New Roman" w:hAnsi="Times New Roman"/>
        <w:b w:val="0"/>
      </w:rPr>
    </w:lvl>
    <w:lvl w:ilvl="1">
      <w:start w:val="1"/>
      <w:numFmt w:val="bullet"/>
      <w:lvlText w:val="o"/>
      <w:lvlJc w:val="left"/>
      <w:pPr>
        <w:ind w:left="1648" w:hanging="360"/>
      </w:pPr>
      <w:rPr>
        <w:rFonts w:ascii="Courier New" w:cs="Courier New" w:eastAsia="Courier New" w:hAnsi="Courier New"/>
      </w:rPr>
    </w:lvl>
    <w:lvl w:ilvl="2">
      <w:start w:val="1"/>
      <w:numFmt w:val="bullet"/>
      <w:lvlText w:val="▪"/>
      <w:lvlJc w:val="left"/>
      <w:pPr>
        <w:ind w:left="2368" w:hanging="360"/>
      </w:pPr>
      <w:rPr>
        <w:rFonts w:ascii="Noto Sans Symbols" w:cs="Noto Sans Symbols" w:eastAsia="Noto Sans Symbols" w:hAnsi="Noto Sans Symbols"/>
      </w:rPr>
    </w:lvl>
    <w:lvl w:ilvl="3">
      <w:start w:val="1"/>
      <w:numFmt w:val="bullet"/>
      <w:lvlText w:val="●"/>
      <w:lvlJc w:val="left"/>
      <w:pPr>
        <w:ind w:left="3088" w:hanging="360"/>
      </w:pPr>
      <w:rPr>
        <w:rFonts w:ascii="Noto Sans Symbols" w:cs="Noto Sans Symbols" w:eastAsia="Noto Sans Symbols" w:hAnsi="Noto Sans Symbols"/>
      </w:rPr>
    </w:lvl>
    <w:lvl w:ilvl="4">
      <w:start w:val="1"/>
      <w:numFmt w:val="bullet"/>
      <w:lvlText w:val="o"/>
      <w:lvlJc w:val="left"/>
      <w:pPr>
        <w:ind w:left="3808" w:hanging="360"/>
      </w:pPr>
      <w:rPr>
        <w:rFonts w:ascii="Courier New" w:cs="Courier New" w:eastAsia="Courier New" w:hAnsi="Courier New"/>
      </w:rPr>
    </w:lvl>
    <w:lvl w:ilvl="5">
      <w:start w:val="1"/>
      <w:numFmt w:val="bullet"/>
      <w:lvlText w:val="▪"/>
      <w:lvlJc w:val="left"/>
      <w:pPr>
        <w:ind w:left="4528" w:hanging="360"/>
      </w:pPr>
      <w:rPr>
        <w:rFonts w:ascii="Noto Sans Symbols" w:cs="Noto Sans Symbols" w:eastAsia="Noto Sans Symbols" w:hAnsi="Noto Sans Symbols"/>
      </w:rPr>
    </w:lvl>
    <w:lvl w:ilvl="6">
      <w:start w:val="1"/>
      <w:numFmt w:val="bullet"/>
      <w:lvlText w:val="●"/>
      <w:lvlJc w:val="left"/>
      <w:pPr>
        <w:ind w:left="5248" w:hanging="360"/>
      </w:pPr>
      <w:rPr>
        <w:rFonts w:ascii="Noto Sans Symbols" w:cs="Noto Sans Symbols" w:eastAsia="Noto Sans Symbols" w:hAnsi="Noto Sans Symbols"/>
      </w:rPr>
    </w:lvl>
    <w:lvl w:ilvl="7">
      <w:start w:val="1"/>
      <w:numFmt w:val="bullet"/>
      <w:lvlText w:val="o"/>
      <w:lvlJc w:val="left"/>
      <w:pPr>
        <w:ind w:left="5968" w:hanging="360"/>
      </w:pPr>
      <w:rPr>
        <w:rFonts w:ascii="Courier New" w:cs="Courier New" w:eastAsia="Courier New" w:hAnsi="Courier New"/>
      </w:rPr>
    </w:lvl>
    <w:lvl w:ilvl="8">
      <w:start w:val="1"/>
      <w:numFmt w:val="bullet"/>
      <w:lvlText w:val="▪"/>
      <w:lvlJc w:val="left"/>
      <w:pPr>
        <w:ind w:left="6688"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0" w:type="dxa"/>
        <w:bottom w:w="0.0" w:type="dxa"/>
        <w:right w:w="10.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 w:type="table" w:styleId="Table11">
    <w:basedOn w:val="TableNormal"/>
    <w:tblPr>
      <w:tblStyleRowBandSize w:val="1"/>
      <w:tblStyleColBandSize w:val="1"/>
      <w:tblCellMar>
        <w:top w:w="0.0" w:type="dxa"/>
        <w:left w:w="10.0" w:type="dxa"/>
        <w:bottom w:w="0.0" w:type="dxa"/>
        <w:right w:w="10.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44.0" w:type="dxa"/>
        <w:left w:w="115.0" w:type="dxa"/>
        <w:bottom w:w="144.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